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A499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35018639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4CC9B6E5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47C24676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2566DC23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0A999DAE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45D3BC8E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50F9380F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37DDBA6C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7429C7E9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内蒙古自治区商务厅  财政厅  农牧厅</w:t>
      </w:r>
    </w:p>
    <w:p w14:paraId="2F24504D">
      <w:pPr>
        <w:spacing w:before="29" w:line="236" w:lineRule="auto"/>
        <w:ind w:left="542" w:right="421" w:hanging="334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 xml:space="preserve">关于继续开展 </w:t>
      </w:r>
      <w:r>
        <w:rPr>
          <w:rFonts w:ascii="Times New Roman" w:hAnsi="Times New Roman" w:eastAsia="Times New Roman" w:cs="Times New Roman"/>
          <w:spacing w:val="-9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>年度中央服务业发展专项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 xml:space="preserve"> （县域商业建设行动）申报工作的通知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 xml:space="preserve">             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内商流通字〔2025〕534 号</w:t>
      </w:r>
    </w:p>
    <w:p w14:paraId="1496CF5D">
      <w:pPr>
        <w:spacing w:line="273" w:lineRule="auto"/>
        <w:rPr>
          <w:rFonts w:ascii="Arial"/>
          <w:sz w:val="21"/>
        </w:rPr>
      </w:pPr>
    </w:p>
    <w:p w14:paraId="0712CB14">
      <w:pPr>
        <w:spacing w:line="274" w:lineRule="auto"/>
        <w:rPr>
          <w:rFonts w:ascii="Arial"/>
          <w:sz w:val="21"/>
        </w:rPr>
      </w:pPr>
    </w:p>
    <w:p w14:paraId="2929525A">
      <w:pPr>
        <w:pStyle w:val="2"/>
        <w:spacing w:before="101" w:line="219" w:lineRule="auto"/>
        <w:ind w:left="161"/>
      </w:pPr>
      <w:r>
        <w:rPr>
          <w:spacing w:val="5"/>
        </w:rPr>
        <w:t>各盟市商务局、财政局、农牧局：</w:t>
      </w:r>
    </w:p>
    <w:p w14:paraId="1680EEC7">
      <w:pPr>
        <w:pStyle w:val="2"/>
        <w:spacing w:before="231" w:line="357" w:lineRule="auto"/>
        <w:ind w:left="170" w:right="510" w:firstLine="634"/>
        <w:jc w:val="both"/>
      </w:pPr>
      <w:r>
        <w:rPr>
          <w:spacing w:val="2"/>
        </w:rPr>
        <w:t>按照《关于支持实施县域商业建设行动的通知》《关于</w:t>
      </w:r>
      <w:r>
        <w:rPr>
          <w:spacing w:val="13"/>
        </w:rPr>
        <w:t xml:space="preserve"> </w:t>
      </w:r>
      <w:r>
        <w:rPr>
          <w:spacing w:val="3"/>
        </w:rPr>
        <w:t>支持建设现代商贸流通体系试点城市的通知》《财政部关于</w:t>
      </w:r>
      <w:r>
        <w:t xml:space="preserve"> </w:t>
      </w:r>
      <w:r>
        <w:rPr>
          <w:spacing w:val="3"/>
        </w:rPr>
        <w:t>下达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3"/>
        </w:rPr>
        <w:t>年服务业发展资金预算的通知》等文件要求，</w:t>
      </w:r>
      <w:r>
        <w:rPr>
          <w:spacing w:val="-52"/>
        </w:rPr>
        <w:t xml:space="preserve"> </w:t>
      </w:r>
      <w:r>
        <w:rPr>
          <w:spacing w:val="3"/>
        </w:rPr>
        <w:t>自</w:t>
      </w:r>
      <w:r>
        <w:t xml:space="preserve"> </w:t>
      </w:r>
      <w:r>
        <w:rPr>
          <w:spacing w:val="8"/>
        </w:rPr>
        <w:t>治区商务厅、财政厅、农牧厅继续组织开展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2025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年度县域</w:t>
      </w:r>
      <w:r>
        <w:t xml:space="preserve"> </w:t>
      </w:r>
      <w:r>
        <w:rPr>
          <w:spacing w:val="8"/>
        </w:rPr>
        <w:t>商业建设行动申报工作，现通知如下：</w:t>
      </w:r>
      <w:bookmarkStart w:id="0" w:name="_GoBack"/>
      <w:bookmarkEnd w:id="0"/>
    </w:p>
    <w:p w14:paraId="72D1C37A">
      <w:pPr>
        <w:spacing w:before="3" w:line="226" w:lineRule="auto"/>
        <w:ind w:left="8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一、支持方向</w:t>
      </w:r>
    </w:p>
    <w:p w14:paraId="3E153451">
      <w:pPr>
        <w:pStyle w:val="2"/>
        <w:spacing w:before="218" w:line="191" w:lineRule="auto"/>
        <w:ind w:left="803"/>
      </w:pPr>
      <w:r>
        <w:rPr>
          <w:rFonts w:ascii="Times New Roman" w:hAnsi="Times New Roman" w:eastAsia="Times New Roman" w:cs="Times New Roman"/>
          <w:spacing w:val="21"/>
        </w:rPr>
        <w:t>(</w:t>
      </w:r>
      <w:r>
        <w:rPr>
          <w:rFonts w:ascii="微软雅黑" w:hAnsi="微软雅黑" w:eastAsia="微软雅黑" w:cs="微软雅黑"/>
          <w:spacing w:val="21"/>
        </w:rPr>
        <w:t>一</w:t>
      </w:r>
      <w:r>
        <w:rPr>
          <w:rFonts w:ascii="Times New Roman" w:hAnsi="Times New Roman" w:eastAsia="Times New Roman" w:cs="Times New Roman"/>
          <w:spacing w:val="21"/>
        </w:rPr>
        <w:t>)</w:t>
      </w:r>
      <w:r>
        <w:rPr>
          <w:rFonts w:ascii="微软雅黑" w:hAnsi="微软雅黑" w:eastAsia="微软雅黑" w:cs="微软雅黑"/>
          <w:spacing w:val="21"/>
        </w:rPr>
        <w:t xml:space="preserve">补齐县域商业基础设施短板。 </w:t>
      </w:r>
      <w:r>
        <w:rPr>
          <w:spacing w:val="21"/>
        </w:rPr>
        <w:t>以人口相对聚集的</w:t>
      </w:r>
    </w:p>
    <w:p w14:paraId="2F4DA7C6">
      <w:pPr>
        <w:spacing w:line="191" w:lineRule="auto"/>
        <w:sectPr>
          <w:pgSz w:w="11906" w:h="16838"/>
          <w:pgMar w:top="1431" w:right="1435" w:bottom="0" w:left="1649" w:header="0" w:footer="0" w:gutter="0"/>
          <w:cols w:space="720" w:num="1"/>
        </w:sectPr>
      </w:pPr>
    </w:p>
    <w:p w14:paraId="5CD01FAA">
      <w:pPr>
        <w:pStyle w:val="2"/>
        <w:spacing w:before="209" w:line="357" w:lineRule="auto"/>
        <w:ind w:left="26" w:right="97" w:firstLine="44"/>
        <w:jc w:val="both"/>
      </w:pPr>
      <w:r>
        <w:rPr>
          <w:spacing w:val="7"/>
        </w:rPr>
        <w:t>乡镇为重点，支持升级改造一批商贸中心、大中型超市、集</w:t>
      </w:r>
      <w:r>
        <w:rPr>
          <w:spacing w:val="3"/>
        </w:rPr>
        <w:t xml:space="preserve"> </w:t>
      </w:r>
      <w:r>
        <w:rPr>
          <w:spacing w:val="9"/>
        </w:rPr>
        <w:t>贸市场等，完善冷藏、陈列、打包、结算、食品</w:t>
      </w:r>
      <w:r>
        <w:rPr>
          <w:spacing w:val="8"/>
        </w:rPr>
        <w:t>加工等设施</w:t>
      </w:r>
      <w:r>
        <w:t xml:space="preserve"> </w:t>
      </w:r>
      <w:r>
        <w:rPr>
          <w:spacing w:val="9"/>
        </w:rPr>
        <w:t>设备。鼓励连锁商贸流通企业、电子商务平台等下</w:t>
      </w:r>
      <w:r>
        <w:rPr>
          <w:spacing w:val="8"/>
        </w:rPr>
        <w:t>沉农村，</w:t>
      </w:r>
      <w:r>
        <w:t xml:space="preserve"> </w:t>
      </w:r>
      <w:r>
        <w:rPr>
          <w:spacing w:val="58"/>
        </w:rPr>
        <w:t>发展连锁经营和电子商务</w:t>
      </w:r>
      <w:r>
        <w:rPr>
          <w:spacing w:val="-49"/>
        </w:rPr>
        <w:t xml:space="preserve"> </w:t>
      </w:r>
      <w:r>
        <w:rPr>
          <w:spacing w:val="58"/>
        </w:rPr>
        <w:t>，</w:t>
      </w:r>
      <w:r>
        <w:rPr>
          <w:spacing w:val="-72"/>
        </w:rPr>
        <w:t xml:space="preserve"> </w:t>
      </w:r>
      <w:r>
        <w:rPr>
          <w:spacing w:val="58"/>
        </w:rPr>
        <w:t>打造乡镇商业集聚区。</w:t>
      </w:r>
    </w:p>
    <w:p w14:paraId="490968F6">
      <w:pPr>
        <w:pStyle w:val="2"/>
        <w:spacing w:before="1" w:line="318" w:lineRule="auto"/>
        <w:ind w:left="24" w:firstLine="643"/>
      </w:pP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rFonts w:ascii="微软雅黑" w:hAnsi="微软雅黑" w:eastAsia="微软雅黑" w:cs="微软雅黑"/>
          <w:spacing w:val="11"/>
        </w:rPr>
        <w:t>二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rFonts w:ascii="微软雅黑" w:hAnsi="微软雅黑" w:eastAsia="微软雅黑" w:cs="微软雅黑"/>
          <w:spacing w:val="11"/>
        </w:rPr>
        <w:t>完善县乡村三级物流配送体系。</w:t>
      </w:r>
      <w:r>
        <w:rPr>
          <w:rFonts w:ascii="微软雅黑" w:hAnsi="微软雅黑" w:eastAsia="微软雅黑" w:cs="微软雅黑"/>
          <w:spacing w:val="-52"/>
        </w:rPr>
        <w:t xml:space="preserve"> </w:t>
      </w:r>
      <w:r>
        <w:rPr>
          <w:spacing w:val="11"/>
        </w:rPr>
        <w:t>发挥县城和乡镇物</w:t>
      </w:r>
      <w:r>
        <w:t xml:space="preserve"> </w:t>
      </w:r>
      <w:r>
        <w:rPr>
          <w:spacing w:val="9"/>
        </w:rPr>
        <w:t>流枢纽作用，支持建设改造一批县级物流配送中心和</w:t>
      </w:r>
      <w:r>
        <w:rPr>
          <w:spacing w:val="8"/>
        </w:rPr>
        <w:t>乡镇快</w:t>
      </w:r>
      <w:r>
        <w:t xml:space="preserve"> </w:t>
      </w:r>
      <w:r>
        <w:rPr>
          <w:spacing w:val="9"/>
        </w:rPr>
        <w:t>递物流站点，完善仓储、分拣、包装、装卸、运输、配送等</w:t>
      </w:r>
      <w:r>
        <w:rPr>
          <w:spacing w:val="1"/>
        </w:rPr>
        <w:t xml:space="preserve"> 设施，增强对乡村的辐射能力。整合县域邮政</w:t>
      </w:r>
      <w:r>
        <w:t xml:space="preserve">、供销、快递、 </w:t>
      </w:r>
      <w:r>
        <w:rPr>
          <w:spacing w:val="9"/>
        </w:rPr>
        <w:t>商贸企业等物流资源，开展日用消费品、农资下乡和农</w:t>
      </w:r>
      <w:r>
        <w:rPr>
          <w:spacing w:val="8"/>
        </w:rPr>
        <w:t>产品</w:t>
      </w:r>
      <w:r>
        <w:t xml:space="preserve"> </w:t>
      </w:r>
      <w:r>
        <w:rPr>
          <w:spacing w:val="5"/>
        </w:rPr>
        <w:t>进城等物流快递共同配送服务，</w:t>
      </w:r>
      <w:r>
        <w:rPr>
          <w:spacing w:val="-74"/>
        </w:rPr>
        <w:t xml:space="preserve"> </w:t>
      </w:r>
      <w:r>
        <w:rPr>
          <w:spacing w:val="5"/>
        </w:rPr>
        <w:t>降低物流成本。</w:t>
      </w:r>
    </w:p>
    <w:p w14:paraId="1DC04B7F">
      <w:pPr>
        <w:pStyle w:val="2"/>
        <w:spacing w:before="225" w:line="318" w:lineRule="auto"/>
        <w:ind w:left="21" w:right="95" w:firstLine="646"/>
      </w:pP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微软雅黑" w:hAnsi="微软雅黑" w:eastAsia="微软雅黑" w:cs="微软雅黑"/>
          <w:spacing w:val="10"/>
        </w:rPr>
        <w:t>三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rFonts w:ascii="微软雅黑" w:hAnsi="微软雅黑" w:eastAsia="微软雅黑" w:cs="微软雅黑"/>
          <w:spacing w:val="10"/>
        </w:rPr>
        <w:t>改善优化县域消费渠道。</w:t>
      </w:r>
      <w:r>
        <w:rPr>
          <w:rFonts w:ascii="微软雅黑" w:hAnsi="微软雅黑" w:eastAsia="微软雅黑" w:cs="微软雅黑"/>
          <w:spacing w:val="-29"/>
        </w:rPr>
        <w:t xml:space="preserve"> </w:t>
      </w:r>
      <w:r>
        <w:rPr>
          <w:spacing w:val="10"/>
        </w:rPr>
        <w:t>引导大型流通企业下沉供</w:t>
      </w:r>
      <w:r>
        <w:t xml:space="preserve"> </w:t>
      </w:r>
      <w:r>
        <w:rPr>
          <w:spacing w:val="9"/>
        </w:rPr>
        <w:t>应链，布局一批县域前置仓、物流仓储等设施，提供直供直</w:t>
      </w:r>
      <w:r>
        <w:t xml:space="preserve"> </w:t>
      </w:r>
      <w:r>
        <w:rPr>
          <w:spacing w:val="9"/>
        </w:rPr>
        <w:t>销、集中采购、统一配送、库存管理等服务。鼓励本地商贸</w:t>
      </w:r>
      <w:r>
        <w:rPr>
          <w:spacing w:val="3"/>
        </w:rPr>
        <w:t xml:space="preserve"> </w:t>
      </w:r>
      <w:r>
        <w:rPr>
          <w:spacing w:val="9"/>
        </w:rPr>
        <w:t>流通企业组建联合采购平台，加大农村地区商品投放力度。</w:t>
      </w:r>
      <w:r>
        <w:rPr>
          <w:spacing w:val="3"/>
        </w:rPr>
        <w:t xml:space="preserve"> </w:t>
      </w:r>
      <w:r>
        <w:rPr>
          <w:spacing w:val="9"/>
        </w:rPr>
        <w:t>发展购物、餐饮、亲子、娱乐、农资等多种业态，承接市民</w:t>
      </w:r>
      <w:r>
        <w:rPr>
          <w:spacing w:val="1"/>
        </w:rPr>
        <w:t xml:space="preserve"> </w:t>
      </w:r>
      <w:r>
        <w:rPr>
          <w:spacing w:val="4"/>
        </w:rPr>
        <w:t>下乡和农民进城消费。</w:t>
      </w:r>
    </w:p>
    <w:p w14:paraId="676A0FED">
      <w:pPr>
        <w:pStyle w:val="2"/>
        <w:spacing w:before="225" w:line="318" w:lineRule="auto"/>
        <w:ind w:left="24" w:right="95" w:firstLine="643"/>
      </w:pPr>
      <w:r>
        <w:rPr>
          <w:rFonts w:ascii="Times New Roman" w:hAnsi="Times New Roman" w:eastAsia="Times New Roman" w:cs="Times New Roman"/>
          <w:spacing w:val="9"/>
        </w:rPr>
        <w:t>(</w:t>
      </w:r>
      <w:r>
        <w:rPr>
          <w:rFonts w:ascii="微软雅黑" w:hAnsi="微软雅黑" w:eastAsia="微软雅黑" w:cs="微软雅黑"/>
          <w:spacing w:val="9"/>
        </w:rPr>
        <w:t>四</w:t>
      </w:r>
      <w:r>
        <w:rPr>
          <w:rFonts w:ascii="Times New Roman" w:hAnsi="Times New Roman" w:eastAsia="Times New Roman" w:cs="Times New Roman"/>
          <w:spacing w:val="9"/>
        </w:rPr>
        <w:t>)</w:t>
      </w:r>
      <w:r>
        <w:rPr>
          <w:rFonts w:ascii="微软雅黑" w:hAnsi="微软雅黑" w:eastAsia="微软雅黑" w:cs="微软雅黑"/>
          <w:spacing w:val="9"/>
        </w:rPr>
        <w:t>增强农畜产品上行动能。</w:t>
      </w:r>
      <w:r>
        <w:rPr>
          <w:rFonts w:ascii="微软雅黑" w:hAnsi="微软雅黑" w:eastAsia="微软雅黑" w:cs="微软雅黑"/>
          <w:spacing w:val="-16"/>
        </w:rPr>
        <w:t xml:space="preserve"> </w:t>
      </w:r>
      <w:r>
        <w:rPr>
          <w:spacing w:val="9"/>
        </w:rPr>
        <w:t>引导商贸、电商、快递、</w:t>
      </w:r>
      <w:r>
        <w:t xml:space="preserve"> </w:t>
      </w:r>
      <w:r>
        <w:rPr>
          <w:spacing w:val="9"/>
        </w:rPr>
        <w:t>物流企业围绕农村产品上行，建设分拣、预冷、初加工</w:t>
      </w:r>
      <w:r>
        <w:rPr>
          <w:spacing w:val="8"/>
        </w:rPr>
        <w:t>、配</w:t>
      </w:r>
      <w:r>
        <w:t xml:space="preserve"> </w:t>
      </w:r>
      <w:r>
        <w:rPr>
          <w:spacing w:val="9"/>
        </w:rPr>
        <w:t>送等商品化处理设施，加强标准和品牌应用，提高农畜产品</w:t>
      </w:r>
      <w:r>
        <w:rPr>
          <w:spacing w:val="1"/>
        </w:rPr>
        <w:t xml:space="preserve"> </w:t>
      </w:r>
      <w:r>
        <w:rPr>
          <w:spacing w:val="9"/>
        </w:rPr>
        <w:t>商品转化率。整合现有县乡村电子商务服务网点，统筹</w:t>
      </w:r>
      <w:r>
        <w:rPr>
          <w:spacing w:val="8"/>
        </w:rPr>
        <w:t>产品</w:t>
      </w:r>
      <w:r>
        <w:t xml:space="preserve"> </w:t>
      </w:r>
      <w:r>
        <w:rPr>
          <w:spacing w:val="9"/>
        </w:rPr>
        <w:t>开发、设计、营销、品牌等服务，拓宽农畜产品上行渠道，</w:t>
      </w:r>
      <w:r>
        <w:rPr>
          <w:spacing w:val="1"/>
        </w:rPr>
        <w:t xml:space="preserve"> </w:t>
      </w:r>
      <w:r>
        <w:rPr>
          <w:spacing w:val="5"/>
        </w:rPr>
        <w:t>提高农村电子商务应用水平。</w:t>
      </w:r>
    </w:p>
    <w:p w14:paraId="1624A506">
      <w:pPr>
        <w:pStyle w:val="2"/>
        <w:spacing w:before="228" w:line="191" w:lineRule="auto"/>
        <w:ind w:left="668"/>
      </w:pP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微软雅黑" w:hAnsi="微软雅黑" w:eastAsia="微软雅黑" w:cs="微软雅黑"/>
          <w:spacing w:val="10"/>
        </w:rPr>
        <w:t>五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rFonts w:ascii="微软雅黑" w:hAnsi="微软雅黑" w:eastAsia="微软雅黑" w:cs="微软雅黑"/>
          <w:spacing w:val="10"/>
        </w:rPr>
        <w:t>提高生活服务供给质量。</w:t>
      </w:r>
      <w:r>
        <w:rPr>
          <w:rFonts w:ascii="微软雅黑" w:hAnsi="微软雅黑" w:eastAsia="微软雅黑" w:cs="微软雅黑"/>
          <w:spacing w:val="-29"/>
        </w:rPr>
        <w:t xml:space="preserve"> </w:t>
      </w:r>
      <w:r>
        <w:rPr>
          <w:spacing w:val="10"/>
        </w:rPr>
        <w:t>引导农村邮政、供销、电</w:t>
      </w:r>
    </w:p>
    <w:p w14:paraId="697173E0">
      <w:pPr>
        <w:spacing w:line="191" w:lineRule="auto"/>
        <w:sectPr>
          <w:footerReference r:id="rId5" w:type="default"/>
          <w:pgSz w:w="11906" w:h="16838"/>
          <w:pgMar w:top="1431" w:right="1704" w:bottom="1179" w:left="1785" w:header="0" w:footer="964" w:gutter="0"/>
          <w:cols w:space="720" w:num="1"/>
        </w:sectPr>
      </w:pPr>
    </w:p>
    <w:p w14:paraId="3EB37EB8">
      <w:pPr>
        <w:pStyle w:val="2"/>
        <w:spacing w:before="216" w:line="357" w:lineRule="auto"/>
        <w:ind w:left="30" w:right="153" w:firstLine="9"/>
      </w:pPr>
      <w:r>
        <w:rPr>
          <w:spacing w:val="8"/>
        </w:rPr>
        <w:t>商、商贸流通企业从传统批发、零售向综合性服务转变，整 合购物、订餐、家政、职介、租赁、同城配送等服务，提高</w:t>
      </w:r>
      <w:r>
        <w:rPr>
          <w:spacing w:val="18"/>
        </w:rPr>
        <w:t xml:space="preserve"> </w:t>
      </w:r>
      <w:r>
        <w:rPr>
          <w:spacing w:val="9"/>
        </w:rPr>
        <w:t>社区、村镇生活服务的便捷性和服务质量。引</w:t>
      </w:r>
      <w:r>
        <w:rPr>
          <w:spacing w:val="8"/>
        </w:rPr>
        <w:t>导商贸流通、</w:t>
      </w:r>
      <w:r>
        <w:t xml:space="preserve"> </w:t>
      </w:r>
      <w:r>
        <w:rPr>
          <w:spacing w:val="9"/>
        </w:rPr>
        <w:t>电子商务、生活服务与现代农业、乡村旅游、</w:t>
      </w:r>
      <w:r>
        <w:rPr>
          <w:spacing w:val="8"/>
        </w:rPr>
        <w:t>加工制造等特</w:t>
      </w:r>
      <w:r>
        <w:t xml:space="preserve"> </w:t>
      </w:r>
      <w:r>
        <w:rPr>
          <w:spacing w:val="9"/>
        </w:rPr>
        <w:t>色产业跨界融合，增强服务业推动生产、促进</w:t>
      </w:r>
      <w:r>
        <w:rPr>
          <w:spacing w:val="8"/>
        </w:rPr>
        <w:t>流通、扩大消</w:t>
      </w:r>
      <w:r>
        <w:t xml:space="preserve"> </w:t>
      </w:r>
      <w:r>
        <w:rPr>
          <w:spacing w:val="-5"/>
        </w:rPr>
        <w:t>费的功能。</w:t>
      </w:r>
    </w:p>
    <w:p w14:paraId="6CD2682A">
      <w:pPr>
        <w:pStyle w:val="2"/>
        <w:spacing w:before="8" w:line="343" w:lineRule="auto"/>
        <w:ind w:left="30" w:right="164" w:firstLine="615"/>
      </w:pPr>
      <w:r>
        <w:rPr>
          <w:rFonts w:ascii="微软雅黑" w:hAnsi="微软雅黑" w:eastAsia="微软雅黑" w:cs="微软雅黑"/>
          <w:spacing w:val="7"/>
        </w:rPr>
        <w:t>（六）健全废旧家电家具等再生资源回收体系</w:t>
      </w:r>
      <w:r>
        <w:rPr>
          <w:rFonts w:ascii="微软雅黑" w:hAnsi="微软雅黑" w:eastAsia="微软雅黑" w:cs="微软雅黑"/>
          <w:spacing w:val="-38"/>
        </w:rPr>
        <w:t xml:space="preserve"> </w:t>
      </w:r>
      <w:r>
        <w:rPr>
          <w:rFonts w:ascii="微软雅黑" w:hAnsi="微软雅黑" w:eastAsia="微软雅黑" w:cs="微软雅黑"/>
          <w:spacing w:val="7"/>
        </w:rPr>
        <w:t>。</w:t>
      </w:r>
      <w:r>
        <w:rPr>
          <w:spacing w:val="7"/>
        </w:rPr>
        <w:t>支持改</w:t>
      </w:r>
      <w:r>
        <w:t xml:space="preserve"> </w:t>
      </w:r>
      <w:r>
        <w:rPr>
          <w:spacing w:val="18"/>
        </w:rPr>
        <w:t>造建设县域再生资源回收分拣中心与废旧家电家具回收、</w:t>
      </w:r>
      <w:r>
        <w:rPr>
          <w:spacing w:val="15"/>
        </w:rPr>
        <w:t xml:space="preserve"> </w:t>
      </w:r>
      <w:r>
        <w:rPr>
          <w:spacing w:val="21"/>
        </w:rPr>
        <w:t>中转、集散站点。支持乡镇商贸中心等商业网点提供废旧</w:t>
      </w:r>
      <w:r>
        <w:rPr>
          <w:spacing w:val="3"/>
        </w:rPr>
        <w:t xml:space="preserve"> </w:t>
      </w:r>
      <w:r>
        <w:rPr>
          <w:spacing w:val="18"/>
        </w:rPr>
        <w:t>家电回收、二手家电经销、维修等生活服务，</w:t>
      </w:r>
      <w:r>
        <w:rPr>
          <w:spacing w:val="-73"/>
        </w:rPr>
        <w:t xml:space="preserve"> </w:t>
      </w:r>
      <w:r>
        <w:rPr>
          <w:spacing w:val="18"/>
        </w:rPr>
        <w:t>改</w:t>
      </w:r>
      <w:r>
        <w:rPr>
          <w:spacing w:val="17"/>
        </w:rPr>
        <w:t>造建设废</w:t>
      </w:r>
      <w:r>
        <w:t xml:space="preserve"> </w:t>
      </w:r>
      <w:r>
        <w:rPr>
          <w:spacing w:val="21"/>
        </w:rPr>
        <w:t>旧家电暂存、周转相关设施，增加服务功能。支持废旧家</w:t>
      </w:r>
      <w:r>
        <w:rPr>
          <w:spacing w:val="3"/>
        </w:rPr>
        <w:t xml:space="preserve"> </w:t>
      </w:r>
      <w:r>
        <w:rPr>
          <w:spacing w:val="21"/>
        </w:rPr>
        <w:t>电回收企业配备再生资源回收车辆，推广</w:t>
      </w:r>
      <w:r>
        <w:rPr>
          <w:rFonts w:ascii="Times New Roman" w:hAnsi="Times New Roman" w:eastAsia="Times New Roman" w:cs="Times New Roman"/>
          <w:spacing w:val="21"/>
        </w:rPr>
        <w:t>“</w:t>
      </w:r>
      <w:r>
        <w:rPr>
          <w:spacing w:val="21"/>
        </w:rPr>
        <w:t>以车代库</w:t>
      </w:r>
      <w:r>
        <w:rPr>
          <w:rFonts w:ascii="Times New Roman" w:hAnsi="Times New Roman" w:eastAsia="Times New Roman" w:cs="Times New Roman"/>
          <w:spacing w:val="21"/>
        </w:rPr>
        <w:t>”</w:t>
      </w:r>
      <w:r>
        <w:rPr>
          <w:spacing w:val="21"/>
        </w:rPr>
        <w:t>等灵</w:t>
      </w:r>
      <w:r>
        <w:rPr>
          <w:spacing w:val="13"/>
        </w:rPr>
        <w:t xml:space="preserve"> </w:t>
      </w:r>
      <w:r>
        <w:rPr>
          <w:spacing w:val="18"/>
        </w:rPr>
        <w:t>活流动回收模式，统一服务规范，延伸回收网络，</w:t>
      </w:r>
      <w:r>
        <w:rPr>
          <w:spacing w:val="-77"/>
        </w:rPr>
        <w:t xml:space="preserve"> </w:t>
      </w:r>
      <w:r>
        <w:rPr>
          <w:spacing w:val="18"/>
        </w:rPr>
        <w:t>实现废</w:t>
      </w:r>
      <w:r>
        <w:t xml:space="preserve"> </w:t>
      </w:r>
      <w:r>
        <w:rPr>
          <w:spacing w:val="15"/>
        </w:rPr>
        <w:t>旧家电即收即走。</w:t>
      </w:r>
    </w:p>
    <w:p w14:paraId="0DF1773E">
      <w:pPr>
        <w:spacing w:line="228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二、申报要求</w:t>
      </w:r>
    </w:p>
    <w:p w14:paraId="51E46E20">
      <w:pPr>
        <w:pStyle w:val="2"/>
        <w:spacing w:before="167" w:line="371" w:lineRule="auto"/>
        <w:ind w:left="20" w:firstLine="638"/>
      </w:pPr>
      <w:r>
        <w:rPr>
          <w:spacing w:val="4"/>
        </w:rPr>
        <w:t>（一）申报主体及范围。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试点县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申报主体</w:t>
      </w:r>
      <w:r>
        <w:rPr>
          <w:spacing w:val="3"/>
        </w:rPr>
        <w:t>为旗县（区）</w:t>
      </w:r>
      <w:r>
        <w:t xml:space="preserve"> </w:t>
      </w:r>
      <w:r>
        <w:rPr>
          <w:spacing w:val="5"/>
        </w:rPr>
        <w:t>人民政府，</w:t>
      </w:r>
      <w:r>
        <w:rPr>
          <w:spacing w:val="-83"/>
        </w:rPr>
        <w:t xml:space="preserve"> </w:t>
      </w:r>
      <w:r>
        <w:rPr>
          <w:spacing w:val="5"/>
        </w:rPr>
        <w:t>自治区级项目申报主体为项目实施主体。</w:t>
      </w:r>
      <w:r>
        <w:rPr>
          <w:rFonts w:ascii="Times New Roman" w:hAnsi="Times New Roman" w:eastAsia="Times New Roman" w:cs="Times New Roman"/>
          <w:spacing w:val="4"/>
        </w:rPr>
        <w:t>2022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4"/>
        </w:rPr>
        <w:t>—</w:t>
      </w:r>
      <w:r>
        <w:t xml:space="preserve">  </w:t>
      </w:r>
      <w:r>
        <w:rPr>
          <w:rFonts w:ascii="Times New Roman" w:hAnsi="Times New Roman" w:eastAsia="Times New Roman" w:cs="Times New Roman"/>
          <w:spacing w:val="17"/>
        </w:rPr>
        <w:t>2025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17"/>
        </w:rPr>
        <w:t>年度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试点县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可继续报送符合县域支持方向的项目申</w:t>
      </w:r>
      <w:r>
        <w:t xml:space="preserve">  </w:t>
      </w:r>
      <w:r>
        <w:rPr>
          <w:spacing w:val="9"/>
        </w:rPr>
        <w:t>请资金支持，其余旗县区通过申报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争取资金支持。</w:t>
      </w:r>
      <w:r>
        <w:rPr>
          <w:spacing w:val="8"/>
        </w:rPr>
        <w:t xml:space="preserve">  </w:t>
      </w:r>
      <w:r>
        <w:rPr>
          <w:spacing w:val="-3"/>
        </w:rPr>
        <w:t>按照《关于支持建设现代商贸流通体系试点城市的通知》（财</w:t>
      </w:r>
      <w:r>
        <w:rPr>
          <w:spacing w:val="3"/>
        </w:rPr>
        <w:t xml:space="preserve">  </w:t>
      </w:r>
      <w:r>
        <w:rPr>
          <w:spacing w:val="4"/>
        </w:rPr>
        <w:t>办建（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4"/>
        </w:rPr>
        <w:t>）</w:t>
      </w:r>
      <w:r>
        <w:rPr>
          <w:rFonts w:ascii="Times New Roman" w:hAnsi="Times New Roman" w:eastAsia="Times New Roman" w:cs="Times New Roman"/>
          <w:spacing w:val="4"/>
        </w:rPr>
        <w:t>21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4"/>
        </w:rPr>
        <w:t>号）有关规定，呼和浩特市所属旗县区不参</w:t>
      </w:r>
      <w:r>
        <w:t xml:space="preserve">  </w:t>
      </w:r>
      <w:r>
        <w:rPr>
          <w:spacing w:val="6"/>
        </w:rPr>
        <w:t>与此次申报。</w:t>
      </w:r>
    </w:p>
    <w:p w14:paraId="036E12BC">
      <w:pPr>
        <w:spacing w:line="371" w:lineRule="auto"/>
        <w:sectPr>
          <w:footerReference r:id="rId6" w:type="default"/>
          <w:pgSz w:w="11906" w:h="16838"/>
          <w:pgMar w:top="1431" w:right="1645" w:bottom="1179" w:left="1785" w:header="0" w:footer="964" w:gutter="0"/>
          <w:cols w:space="720" w:num="1"/>
        </w:sectPr>
      </w:pPr>
    </w:p>
    <w:p w14:paraId="501DBA65">
      <w:pPr>
        <w:pStyle w:val="2"/>
        <w:spacing w:before="213" w:line="330" w:lineRule="auto"/>
        <w:ind w:left="26" w:right="44" w:firstLine="632"/>
      </w:pPr>
      <w:r>
        <w:rPr>
          <w:spacing w:val="9"/>
        </w:rPr>
        <w:t>（二）建立补贴项目遴选与公示制度，各地区通过项目</w:t>
      </w:r>
      <w:r>
        <w:rPr>
          <w:spacing w:val="1"/>
        </w:rPr>
        <w:t xml:space="preserve"> </w:t>
      </w:r>
      <w:r>
        <w:rPr>
          <w:spacing w:val="9"/>
        </w:rPr>
        <w:t>遴选与公示后的项目，要列入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项目清单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。自治区级项目由</w:t>
      </w:r>
      <w:r>
        <w:t xml:space="preserve"> </w:t>
      </w:r>
      <w:r>
        <w:rPr>
          <w:spacing w:val="9"/>
        </w:rPr>
        <w:t>项目实施主体向盟市主管部门进行申报，盟市主</w:t>
      </w:r>
      <w:r>
        <w:rPr>
          <w:spacing w:val="8"/>
        </w:rPr>
        <w:t>管部门审核</w:t>
      </w:r>
      <w:r>
        <w:t xml:space="preserve"> </w:t>
      </w:r>
      <w:r>
        <w:rPr>
          <w:spacing w:val="9"/>
        </w:rPr>
        <w:t>后报自治区主管部门进行评审。邮政、供销拟申报项目</w:t>
      </w:r>
      <w:r>
        <w:rPr>
          <w:spacing w:val="8"/>
        </w:rPr>
        <w:t>须提</w:t>
      </w:r>
      <w:r>
        <w:t xml:space="preserve"> </w:t>
      </w:r>
      <w:r>
        <w:rPr>
          <w:spacing w:val="6"/>
        </w:rPr>
        <w:t>前取得自治区主管部门的批复文件。</w:t>
      </w:r>
    </w:p>
    <w:p w14:paraId="1D076193">
      <w:pPr>
        <w:pStyle w:val="2"/>
        <w:spacing w:before="226" w:line="324" w:lineRule="auto"/>
        <w:ind w:left="30" w:firstLine="629"/>
      </w:pPr>
      <w:r>
        <w:rPr>
          <w:spacing w:val="7"/>
        </w:rPr>
        <w:t>（三）</w:t>
      </w:r>
      <w:r>
        <w:rPr>
          <w:spacing w:val="-31"/>
        </w:rPr>
        <w:t xml:space="preserve"> </w:t>
      </w:r>
      <w:r>
        <w:rPr>
          <w:spacing w:val="7"/>
        </w:rPr>
        <w:t>申报项目按照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储备一批、成熟一批、支持一批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0"/>
        </w:rPr>
        <w:t>的原则，重点支持项目需提前入库，未纳入项目库的项目，</w:t>
      </w:r>
      <w:r>
        <w:rPr>
          <w:spacing w:val="13"/>
        </w:rPr>
        <w:t xml:space="preserve"> </w:t>
      </w:r>
      <w:r>
        <w:rPr>
          <w:spacing w:val="9"/>
        </w:rPr>
        <w:t>原则上不予支持。中央财政专项资金拟支持项</w:t>
      </w:r>
      <w:r>
        <w:rPr>
          <w:spacing w:val="8"/>
        </w:rPr>
        <w:t>目建设周期应</w:t>
      </w:r>
      <w:r>
        <w:t xml:space="preserve"> </w:t>
      </w:r>
      <w:r>
        <w:rPr>
          <w:spacing w:val="-4"/>
        </w:rPr>
        <w:t>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4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月—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月之间。</w:t>
      </w:r>
    </w:p>
    <w:p w14:paraId="5E8BA8D0">
      <w:pPr>
        <w:spacing w:before="228"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三、资金使用</w:t>
      </w:r>
    </w:p>
    <w:p w14:paraId="76907282">
      <w:pPr>
        <w:pStyle w:val="2"/>
        <w:spacing w:before="219" w:line="323" w:lineRule="auto"/>
        <w:ind w:left="26" w:right="47" w:firstLine="632"/>
      </w:pPr>
      <w:r>
        <w:rPr>
          <w:spacing w:val="9"/>
        </w:rPr>
        <w:t>（一）原则上，专项资金支持比例不超过项目建设投资</w:t>
      </w:r>
      <w:r>
        <w:t xml:space="preserve"> </w:t>
      </w:r>
      <w:r>
        <w:rPr>
          <w:spacing w:val="5"/>
        </w:rPr>
        <w:t>的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30%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。鼓励各地统筹好自有财力，合力推进县域商业建设</w:t>
      </w:r>
      <w:r>
        <w:t xml:space="preserve"> </w:t>
      </w:r>
      <w:r>
        <w:rPr>
          <w:spacing w:val="6"/>
        </w:rPr>
        <w:t>行动。专项资金向基层倾斜，最终安排使用到旗县（</w:t>
      </w:r>
      <w:r>
        <w:rPr>
          <w:spacing w:val="-81"/>
        </w:rPr>
        <w:t xml:space="preserve"> </w:t>
      </w:r>
      <w:r>
        <w:rPr>
          <w:spacing w:val="6"/>
        </w:rPr>
        <w:t>区）的</w:t>
      </w:r>
      <w:r>
        <w:t xml:space="preserve"> </w:t>
      </w:r>
      <w:r>
        <w:rPr>
          <w:spacing w:val="4"/>
        </w:rPr>
        <w:t>比例不低于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90%</w:t>
      </w:r>
      <w:r>
        <w:rPr>
          <w:spacing w:val="4"/>
        </w:rPr>
        <w:t>。</w:t>
      </w:r>
    </w:p>
    <w:p w14:paraId="29AB3E5A">
      <w:pPr>
        <w:pStyle w:val="2"/>
        <w:spacing w:before="228" w:line="335" w:lineRule="auto"/>
        <w:ind w:left="26" w:right="47" w:firstLine="632"/>
      </w:pPr>
      <w:r>
        <w:rPr>
          <w:spacing w:val="9"/>
        </w:rPr>
        <w:t>（二）充分发挥专项资金引导作用，鼓励有条件的地方</w:t>
      </w:r>
      <w:r>
        <w:t xml:space="preserve"> </w:t>
      </w:r>
      <w:r>
        <w:rPr>
          <w:spacing w:val="9"/>
        </w:rPr>
        <w:t>通过贷款贴息、购买服务、以奖代补等方式撬动社</w:t>
      </w:r>
      <w:r>
        <w:rPr>
          <w:spacing w:val="8"/>
        </w:rPr>
        <w:t>会资本，</w:t>
      </w:r>
      <w:r>
        <w:t xml:space="preserve"> </w:t>
      </w:r>
      <w:r>
        <w:rPr>
          <w:spacing w:val="9"/>
        </w:rPr>
        <w:t>推动县域商业发展，提高资金使用效益。县城综</w:t>
      </w:r>
      <w:r>
        <w:rPr>
          <w:spacing w:val="8"/>
        </w:rPr>
        <w:t>合商贸服务</w:t>
      </w:r>
      <w:r>
        <w:t xml:space="preserve"> </w:t>
      </w:r>
      <w:r>
        <w:rPr>
          <w:spacing w:val="9"/>
        </w:rPr>
        <w:t>中心、村级便民商店不列入中央财政支持方向，</w:t>
      </w:r>
      <w:r>
        <w:rPr>
          <w:spacing w:val="8"/>
        </w:rPr>
        <w:t>通过市场化</w:t>
      </w:r>
      <w:r>
        <w:t xml:space="preserve"> </w:t>
      </w:r>
      <w:r>
        <w:rPr>
          <w:spacing w:val="6"/>
        </w:rPr>
        <w:t>手段推进建设改造。</w:t>
      </w:r>
      <w:r>
        <w:rPr>
          <w:spacing w:val="-81"/>
        </w:rPr>
        <w:t xml:space="preserve"> </w:t>
      </w:r>
      <w:r>
        <w:rPr>
          <w:spacing w:val="6"/>
        </w:rPr>
        <w:t>自治区级项目为跨区域物流、供应链等</w:t>
      </w:r>
      <w:r>
        <w:t xml:space="preserve"> </w:t>
      </w:r>
      <w:r>
        <w:rPr>
          <w:spacing w:val="4"/>
        </w:rPr>
        <w:t>面向县域的重点项目。</w:t>
      </w:r>
    </w:p>
    <w:p w14:paraId="2B5AC3F6">
      <w:pPr>
        <w:pStyle w:val="2"/>
        <w:spacing w:before="226" w:line="357" w:lineRule="auto"/>
        <w:ind w:left="26" w:right="47" w:firstLine="650"/>
        <w:jc w:val="both"/>
      </w:pPr>
      <w:r>
        <w:rPr>
          <w:spacing w:val="8"/>
        </w:rPr>
        <w:t>专项资金不得用于平衡本级财政预算及偿还债务，不得</w:t>
      </w:r>
      <w:r>
        <w:rPr>
          <w:spacing w:val="7"/>
        </w:rPr>
        <w:t xml:space="preserve"> </w:t>
      </w:r>
      <w:r>
        <w:rPr>
          <w:spacing w:val="9"/>
        </w:rPr>
        <w:t>用于财政补助单位人员经费和工作经费（包括项</w:t>
      </w:r>
      <w:r>
        <w:rPr>
          <w:spacing w:val="8"/>
        </w:rPr>
        <w:t>目相关的审</w:t>
      </w:r>
      <w:r>
        <w:t xml:space="preserve"> </w:t>
      </w:r>
      <w:r>
        <w:rPr>
          <w:spacing w:val="12"/>
        </w:rPr>
        <w:t>计、监理咨询、验收等费用</w:t>
      </w:r>
      <w:r>
        <w:rPr>
          <w:spacing w:val="-69"/>
        </w:rPr>
        <w:t>），</w:t>
      </w:r>
      <w:r>
        <w:rPr>
          <w:spacing w:val="-75"/>
        </w:rPr>
        <w:t xml:space="preserve"> </w:t>
      </w:r>
      <w:r>
        <w:rPr>
          <w:spacing w:val="12"/>
        </w:rPr>
        <w:t>以及新建扩建政府性楼堂馆</w:t>
      </w:r>
    </w:p>
    <w:p w14:paraId="3BCB7670">
      <w:pPr>
        <w:spacing w:line="357" w:lineRule="auto"/>
        <w:sectPr>
          <w:footerReference r:id="rId7" w:type="default"/>
          <w:pgSz w:w="11906" w:h="16838"/>
          <w:pgMar w:top="1431" w:right="1754" w:bottom="1179" w:left="1785" w:header="0" w:footer="964" w:gutter="0"/>
          <w:cols w:space="720" w:num="1"/>
        </w:sectPr>
      </w:pPr>
    </w:p>
    <w:p w14:paraId="37A397AD">
      <w:pPr>
        <w:pStyle w:val="2"/>
        <w:spacing w:before="210" w:line="357" w:lineRule="auto"/>
        <w:ind w:left="28" w:right="13" w:hanging="1"/>
        <w:jc w:val="both"/>
      </w:pPr>
      <w:r>
        <w:rPr>
          <w:spacing w:val="9"/>
        </w:rPr>
        <w:t>所等明令禁止的相关项目建设，不得用于征地拆迁，</w:t>
      </w:r>
      <w:r>
        <w:rPr>
          <w:spacing w:val="8"/>
        </w:rPr>
        <w:t>不得用</w:t>
      </w:r>
      <w:r>
        <w:t xml:space="preserve"> </w:t>
      </w:r>
      <w:r>
        <w:rPr>
          <w:spacing w:val="9"/>
        </w:rPr>
        <w:t>于支付罚款、捐款、赞助、投资、租金、偿</w:t>
      </w:r>
      <w:r>
        <w:rPr>
          <w:spacing w:val="8"/>
        </w:rPr>
        <w:t>还债务等。对已</w:t>
      </w:r>
      <w:r>
        <w:t xml:space="preserve"> </w:t>
      </w:r>
      <w:r>
        <w:rPr>
          <w:spacing w:val="9"/>
        </w:rPr>
        <w:t>从其他渠道获得中央财政资金支持的项目，</w:t>
      </w:r>
      <w:r>
        <w:rPr>
          <w:spacing w:val="8"/>
        </w:rPr>
        <w:t>不得重复申请资</w:t>
      </w:r>
      <w:r>
        <w:t xml:space="preserve"> </w:t>
      </w:r>
      <w:r>
        <w:rPr>
          <w:spacing w:val="6"/>
        </w:rPr>
        <w:t>金，杜绝同一项目重复申报、多头申报、重复支持。</w:t>
      </w:r>
    </w:p>
    <w:p w14:paraId="24BFCAD1">
      <w:pPr>
        <w:spacing w:before="5" w:line="228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四、申报材料</w:t>
      </w:r>
    </w:p>
    <w:p w14:paraId="70DA09F6">
      <w:pPr>
        <w:pStyle w:val="2"/>
        <w:spacing w:before="218" w:line="219" w:lineRule="auto"/>
        <w:ind w:left="659"/>
      </w:pPr>
      <w:r>
        <w:rPr>
          <w:spacing w:val="6"/>
        </w:rPr>
        <w:t>（一）盟市审核推荐表（附件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</w:t>
      </w:r>
    </w:p>
    <w:p w14:paraId="7FC3C7D3">
      <w:pPr>
        <w:pStyle w:val="2"/>
        <w:spacing w:before="229" w:line="289" w:lineRule="auto"/>
        <w:ind w:left="71" w:right="16" w:firstLine="587"/>
      </w:pPr>
      <w:r>
        <w:rPr>
          <w:spacing w:val="6"/>
        </w:rPr>
        <w:t>（二）</w:t>
      </w:r>
      <w:r>
        <w:rPr>
          <w:spacing w:val="-83"/>
        </w:rPr>
        <w:t xml:space="preserve"> </w:t>
      </w:r>
      <w:r>
        <w:rPr>
          <w:spacing w:val="6"/>
        </w:rPr>
        <w:t>申报旗县（区）县域商业体系建设工作方案基本</w:t>
      </w:r>
      <w:r>
        <w:t xml:space="preserve"> </w:t>
      </w:r>
      <w:r>
        <w:rPr>
          <w:spacing w:val="3"/>
        </w:rPr>
        <w:t>内容及具体要求（附件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</w:p>
    <w:p w14:paraId="636A48C4">
      <w:pPr>
        <w:pStyle w:val="2"/>
        <w:spacing w:before="233" w:line="219" w:lineRule="auto"/>
        <w:ind w:left="659"/>
      </w:pPr>
      <w:r>
        <w:rPr>
          <w:spacing w:val="8"/>
        </w:rPr>
        <w:t>（三）总体目标及年度分解任务（附件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</w:t>
      </w:r>
    </w:p>
    <w:p w14:paraId="57D590D5">
      <w:pPr>
        <w:pStyle w:val="2"/>
        <w:spacing w:before="229" w:line="289" w:lineRule="auto"/>
        <w:ind w:left="84" w:right="16" w:firstLine="575"/>
      </w:pPr>
      <w:r>
        <w:rPr>
          <w:spacing w:val="6"/>
        </w:rPr>
        <w:t>（四）</w:t>
      </w:r>
      <w:r>
        <w:rPr>
          <w:rFonts w:ascii="Times New Roman" w:hAnsi="Times New Roman" w:eastAsia="Times New Roman" w:cs="Times New Roman"/>
          <w:spacing w:val="6"/>
        </w:rPr>
        <w:t xml:space="preserve">2025 </w:t>
      </w:r>
      <w:r>
        <w:rPr>
          <w:spacing w:val="6"/>
        </w:rPr>
        <w:t>年度县域商业体系建设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试点县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 xml:space="preserve">计划支持项 </w:t>
      </w:r>
      <w:r>
        <w:rPr>
          <w:spacing w:val="-1"/>
        </w:rPr>
        <w:t>目清单（附件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</w:t>
      </w:r>
    </w:p>
    <w:p w14:paraId="727E838D">
      <w:pPr>
        <w:pStyle w:val="2"/>
        <w:spacing w:before="234" w:line="356" w:lineRule="auto"/>
        <w:ind w:left="34" w:right="12" w:firstLine="676"/>
      </w:pPr>
      <w:r>
        <w:rPr>
          <w:spacing w:val="9"/>
        </w:rPr>
        <w:t>以上申报材料均须统一采用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A4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9"/>
        </w:rPr>
        <w:t>纸打印，编制目录，按</w:t>
      </w:r>
      <w:r>
        <w:t xml:space="preserve"> </w:t>
      </w:r>
      <w:r>
        <w:rPr>
          <w:spacing w:val="7"/>
        </w:rPr>
        <w:t>上述材料内容顺序装订成册（胶装</w:t>
      </w:r>
      <w:r>
        <w:rPr>
          <w:spacing w:val="-66"/>
        </w:rPr>
        <w:t>），</w:t>
      </w:r>
      <w:r>
        <w:rPr>
          <w:spacing w:val="7"/>
        </w:rPr>
        <w:t>并盖申报单位</w:t>
      </w:r>
      <w:r>
        <w:rPr>
          <w:spacing w:val="6"/>
        </w:rPr>
        <w:t>公章。</w:t>
      </w:r>
    </w:p>
    <w:p w14:paraId="39A5C1C1">
      <w:pPr>
        <w:spacing w:before="2" w:line="227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五、申报程序</w:t>
      </w:r>
    </w:p>
    <w:p w14:paraId="2367B113">
      <w:pPr>
        <w:pStyle w:val="2"/>
        <w:spacing w:before="216" w:line="336" w:lineRule="auto"/>
        <w:ind w:left="27" w:right="13" w:firstLine="632"/>
      </w:pPr>
      <w:r>
        <w:rPr>
          <w:rFonts w:ascii="KaiTi_GB2312" w:hAnsi="KaiTi_GB2312" w:eastAsia="KaiTi_GB2312" w:cs="KaiTi_GB2312"/>
          <w:spacing w:val="6"/>
        </w:rPr>
        <w:t>（一）组织申报。</w:t>
      </w:r>
      <w:r>
        <w:rPr>
          <w:spacing w:val="6"/>
        </w:rPr>
        <w:t>各盟市商务、财政、农牧局（</w:t>
      </w:r>
      <w:r>
        <w:rPr>
          <w:spacing w:val="-80"/>
        </w:rPr>
        <w:t xml:space="preserve"> </w:t>
      </w:r>
      <w:r>
        <w:rPr>
          <w:spacing w:val="6"/>
        </w:rPr>
        <w:t>以下简</w:t>
      </w:r>
      <w:r>
        <w:t xml:space="preserve"> </w:t>
      </w:r>
      <w:r>
        <w:rPr>
          <w:spacing w:val="9"/>
        </w:rPr>
        <w:t>称盟市主管部门）统筹推进本地区县域商业体系建设工</w:t>
      </w:r>
      <w:r>
        <w:rPr>
          <w:spacing w:val="8"/>
        </w:rPr>
        <w:t>作，</w:t>
      </w:r>
      <w:r>
        <w:t xml:space="preserve"> </w:t>
      </w:r>
      <w:r>
        <w:rPr>
          <w:spacing w:val="9"/>
        </w:rPr>
        <w:t>共同组织本地区申报工作，各盟市推荐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数量不超过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3 </w:t>
      </w:r>
      <w:r>
        <w:rPr>
          <w:spacing w:val="7"/>
        </w:rPr>
        <w:t>个、自治区级项目不超过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 </w:t>
      </w:r>
      <w:r>
        <w:rPr>
          <w:spacing w:val="7"/>
        </w:rPr>
        <w:t>个。按照《内蒙古自治区级项</w:t>
      </w:r>
      <w:r>
        <w:t xml:space="preserve"> </w:t>
      </w:r>
      <w:r>
        <w:rPr>
          <w:spacing w:val="3"/>
        </w:rPr>
        <w:t>目库管理暂行办法》（内财建规〔</w:t>
      </w: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3"/>
        </w:rPr>
        <w:t>号）和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年预</w:t>
      </w:r>
      <w:r>
        <w:t xml:space="preserve"> </w:t>
      </w:r>
      <w:r>
        <w:rPr>
          <w:spacing w:val="9"/>
        </w:rPr>
        <w:t>算编制要求，各盟市通过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内蒙古自治区级项目库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系统</w:t>
      </w:r>
    </w:p>
    <w:p w14:paraId="0F163BD6">
      <w:pPr>
        <w:pStyle w:val="2"/>
        <w:spacing w:before="2" w:line="394" w:lineRule="auto"/>
        <w:ind w:left="20" w:right="16" w:hanging="2"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5"/>
        </w:rPr>
        <w:t>://202.99.230.232:13000)</w:t>
      </w:r>
      <w:r>
        <w:rPr>
          <w:spacing w:val="5"/>
        </w:rPr>
        <w:t>申报材料，并完成盟市审核流</w:t>
      </w:r>
      <w:r>
        <w:rPr>
          <w:spacing w:val="4"/>
        </w:rPr>
        <w:t xml:space="preserve"> </w:t>
      </w:r>
      <w:r>
        <w:rPr>
          <w:spacing w:val="3"/>
        </w:rPr>
        <w:t>程，于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3"/>
        </w:rPr>
        <w:t>日前将申报项目报送到自治区。自治区项目</w:t>
      </w:r>
      <w:r>
        <w:t xml:space="preserve">  </w:t>
      </w:r>
      <w:r>
        <w:rPr>
          <w:spacing w:val="5"/>
        </w:rPr>
        <w:t>库系统技术支持电话：</w:t>
      </w:r>
      <w:r>
        <w:rPr>
          <w:rFonts w:ascii="Times New Roman" w:hAnsi="Times New Roman" w:eastAsia="Times New Roman" w:cs="Times New Roman"/>
          <w:spacing w:val="5"/>
        </w:rPr>
        <w:t>0471-4196267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4192395</w:t>
      </w:r>
      <w:r>
        <w:rPr>
          <w:spacing w:val="5"/>
        </w:rPr>
        <w:t>。</w:t>
      </w:r>
    </w:p>
    <w:p w14:paraId="3053C9FD">
      <w:pPr>
        <w:spacing w:line="394" w:lineRule="auto"/>
        <w:sectPr>
          <w:footerReference r:id="rId8" w:type="default"/>
          <w:pgSz w:w="11906" w:h="16838"/>
          <w:pgMar w:top="1431" w:right="1785" w:bottom="1175" w:left="1785" w:header="0" w:footer="964" w:gutter="0"/>
          <w:cols w:space="720" w:num="1"/>
        </w:sectPr>
      </w:pPr>
    </w:p>
    <w:p w14:paraId="1BC09E3A">
      <w:pPr>
        <w:pStyle w:val="2"/>
        <w:spacing w:before="216" w:line="340" w:lineRule="auto"/>
        <w:ind w:left="31" w:right="95" w:firstLine="627"/>
      </w:pPr>
      <w:r>
        <w:rPr>
          <w:rFonts w:ascii="KaiTi_GB2312" w:hAnsi="KaiTi_GB2312" w:eastAsia="KaiTi_GB2312" w:cs="KaiTi_GB2312"/>
          <w:spacing w:val="9"/>
        </w:rPr>
        <w:t>（二）编报方案。</w:t>
      </w:r>
      <w:r>
        <w:rPr>
          <w:spacing w:val="9"/>
        </w:rPr>
        <w:t>申报地区紧紧围绕《县域商业建设指</w:t>
      </w:r>
      <w:r>
        <w:rPr>
          <w:spacing w:val="1"/>
        </w:rPr>
        <w:t xml:space="preserve"> </w:t>
      </w:r>
      <w:r>
        <w:rPr>
          <w:spacing w:val="7"/>
        </w:rPr>
        <w:t>南》</w:t>
      </w:r>
      <w:r>
        <w:rPr>
          <w:rFonts w:ascii="Times New Roman" w:hAnsi="Times New Roman" w:eastAsia="Times New Roman" w:cs="Times New Roman"/>
          <w:spacing w:val="7"/>
        </w:rPr>
        <w:t>“3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个全覆盖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个约束性指标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，</w:t>
      </w:r>
      <w:r>
        <w:rPr>
          <w:spacing w:val="-80"/>
        </w:rPr>
        <w:t xml:space="preserve"> </w:t>
      </w:r>
      <w:r>
        <w:rPr>
          <w:spacing w:val="7"/>
        </w:rPr>
        <w:t>以县乡村商业网络体系</w:t>
      </w:r>
      <w:r>
        <w:t xml:space="preserve"> </w:t>
      </w:r>
      <w:r>
        <w:rPr>
          <w:spacing w:val="9"/>
        </w:rPr>
        <w:t>和农村（牧区）物流配送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三点一线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为重点，编制申报工作</w:t>
      </w:r>
      <w:r>
        <w:rPr>
          <w:spacing w:val="17"/>
        </w:rPr>
        <w:t xml:space="preserve"> </w:t>
      </w:r>
      <w:r>
        <w:rPr>
          <w:spacing w:val="9"/>
        </w:rPr>
        <w:t>方案。申报工作方案要与当地经济发展水平</w:t>
      </w:r>
      <w:r>
        <w:rPr>
          <w:spacing w:val="8"/>
        </w:rPr>
        <w:t>相适应，方案需</w:t>
      </w:r>
      <w:r>
        <w:t xml:space="preserve"> </w:t>
      </w:r>
      <w:r>
        <w:rPr>
          <w:spacing w:val="12"/>
        </w:rPr>
        <w:t>明确工作底数，确定到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2"/>
        </w:rPr>
        <w:t>年总体目标、年度分解任务、</w:t>
      </w:r>
      <w:r>
        <w:t xml:space="preserve"> </w:t>
      </w:r>
      <w:r>
        <w:rPr>
          <w:spacing w:val="8"/>
        </w:rPr>
        <w:t>重点举措、项目清单、项目计划、资金计划、绩效考核、项</w:t>
      </w:r>
      <w:r>
        <w:rPr>
          <w:spacing w:val="17"/>
        </w:rPr>
        <w:t xml:space="preserve"> </w:t>
      </w:r>
      <w:r>
        <w:rPr>
          <w:spacing w:val="9"/>
        </w:rPr>
        <w:t>目验收、保障措施等内容。方案（含计划支</w:t>
      </w:r>
      <w:r>
        <w:rPr>
          <w:spacing w:val="8"/>
        </w:rPr>
        <w:t>持项目）上报后</w:t>
      </w:r>
      <w:r>
        <w:t xml:space="preserve"> </w:t>
      </w:r>
      <w:r>
        <w:rPr>
          <w:spacing w:val="7"/>
        </w:rPr>
        <w:t>原则上不得变更，后期将作为验收的重要依</w:t>
      </w:r>
      <w:r>
        <w:rPr>
          <w:spacing w:val="6"/>
        </w:rPr>
        <w:t>据。</w:t>
      </w:r>
    </w:p>
    <w:p w14:paraId="74C4B518">
      <w:pPr>
        <w:pStyle w:val="2"/>
        <w:spacing w:before="229" w:line="330" w:lineRule="auto"/>
        <w:ind w:left="18" w:right="97" w:firstLine="640"/>
      </w:pPr>
      <w:r>
        <w:rPr>
          <w:rFonts w:ascii="KaiTi_GB2312" w:hAnsi="KaiTi_GB2312" w:eastAsia="KaiTi_GB2312" w:cs="KaiTi_GB2312"/>
          <w:spacing w:val="3"/>
        </w:rPr>
        <w:t>（三）盟市初审与推荐。</w:t>
      </w:r>
      <w:r>
        <w:rPr>
          <w:spacing w:val="3"/>
        </w:rPr>
        <w:t>各盟市主管部门按照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公平、公</w:t>
      </w:r>
      <w:r>
        <w:rPr>
          <w:spacing w:val="4"/>
        </w:rPr>
        <w:t xml:space="preserve"> 正、公开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的原则，对旗县（区）人民政府</w:t>
      </w:r>
      <w:r>
        <w:rPr>
          <w:spacing w:val="3"/>
        </w:rPr>
        <w:t>上报的方案（含项</w:t>
      </w:r>
      <w:r>
        <w:t xml:space="preserve"> </w:t>
      </w:r>
      <w:r>
        <w:rPr>
          <w:spacing w:val="9"/>
        </w:rPr>
        <w:t>目）以及自治区级项目进行审核，择优排序向自治区推荐，</w:t>
      </w:r>
      <w:r>
        <w:rPr>
          <w:spacing w:val="4"/>
        </w:rPr>
        <w:t xml:space="preserve"> </w:t>
      </w:r>
      <w:r>
        <w:rPr>
          <w:spacing w:val="9"/>
        </w:rPr>
        <w:t>推荐结果应提前进行公示，盟市主管部门需填写审核推荐表</w:t>
      </w:r>
      <w:r>
        <w:rPr>
          <w:spacing w:val="3"/>
        </w:rPr>
        <w:t xml:space="preserve"> </w:t>
      </w:r>
      <w:r>
        <w:rPr>
          <w:spacing w:val="5"/>
        </w:rPr>
        <w:t>（附件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-57"/>
        </w:rPr>
        <w:t>），</w:t>
      </w:r>
      <w:r>
        <w:rPr>
          <w:spacing w:val="5"/>
        </w:rPr>
        <w:t>可聘请第三方机构开展初评。</w:t>
      </w:r>
    </w:p>
    <w:p w14:paraId="3BAA40CD">
      <w:pPr>
        <w:pStyle w:val="2"/>
        <w:spacing w:before="233" w:line="311" w:lineRule="auto"/>
        <w:ind w:left="36" w:right="96" w:firstLine="622"/>
      </w:pPr>
      <w:r>
        <w:rPr>
          <w:rFonts w:ascii="KaiTi_GB2312" w:hAnsi="KaiTi_GB2312" w:eastAsia="KaiTi_GB2312" w:cs="KaiTi_GB2312"/>
          <w:spacing w:val="6"/>
        </w:rPr>
        <w:t>（四）评审与公示。</w:t>
      </w:r>
      <w:r>
        <w:rPr>
          <w:rFonts w:ascii="KaiTi_GB2312" w:hAnsi="KaiTi_GB2312" w:eastAsia="KaiTi_GB2312" w:cs="KaiTi_GB2312"/>
          <w:spacing w:val="-82"/>
        </w:rPr>
        <w:t xml:space="preserve"> </w:t>
      </w:r>
      <w:r>
        <w:rPr>
          <w:spacing w:val="6"/>
        </w:rPr>
        <w:t>自治区商务厅、财政厅、农牧厅组</w:t>
      </w:r>
      <w:r>
        <w:t xml:space="preserve"> </w:t>
      </w:r>
      <w:r>
        <w:rPr>
          <w:spacing w:val="9"/>
        </w:rPr>
        <w:t>织开展评审工作，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及自治区级项目名单将通过内蒙</w:t>
      </w:r>
      <w:r>
        <w:rPr>
          <w:spacing w:val="12"/>
        </w:rPr>
        <w:t xml:space="preserve"> </w:t>
      </w:r>
      <w:r>
        <w:rPr>
          <w:spacing w:val="5"/>
        </w:rPr>
        <w:t>古自治区商务厅官方网站进行公示。</w:t>
      </w:r>
    </w:p>
    <w:p w14:paraId="67060681">
      <w:pPr>
        <w:spacing w:before="231" w:line="227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六、工作要求</w:t>
      </w:r>
    </w:p>
    <w:p w14:paraId="40A467F0">
      <w:pPr>
        <w:pStyle w:val="2"/>
        <w:spacing w:before="215" w:line="312" w:lineRule="auto"/>
        <w:ind w:left="36" w:right="95" w:firstLine="622"/>
      </w:pPr>
      <w:r>
        <w:rPr>
          <w:spacing w:val="6"/>
        </w:rPr>
        <w:t>（一）</w:t>
      </w:r>
      <w:r>
        <w:rPr>
          <w:spacing w:val="-82"/>
        </w:rPr>
        <w:t xml:space="preserve"> </w:t>
      </w:r>
      <w:r>
        <w:rPr>
          <w:spacing w:val="6"/>
        </w:rPr>
        <w:t>申报单位应确保申报材料真实、准确、完整，保</w:t>
      </w:r>
      <w:r>
        <w:t xml:space="preserve"> </w:t>
      </w:r>
      <w:r>
        <w:rPr>
          <w:spacing w:val="8"/>
        </w:rPr>
        <w:t>证项目相关建设手续合规。对于伪造、提供虚假材料的项目</w:t>
      </w:r>
      <w:r>
        <w:rPr>
          <w:spacing w:val="14"/>
        </w:rPr>
        <w:t xml:space="preserve"> </w:t>
      </w:r>
      <w:r>
        <w:rPr>
          <w:spacing w:val="4"/>
        </w:rPr>
        <w:t>申报地区，取消其申报资格。</w:t>
      </w:r>
    </w:p>
    <w:p w14:paraId="69C57C33">
      <w:pPr>
        <w:pStyle w:val="2"/>
        <w:spacing w:before="228" w:line="312" w:lineRule="auto"/>
        <w:ind w:left="27" w:firstLine="631"/>
      </w:pPr>
      <w:r>
        <w:rPr>
          <w:spacing w:val="9"/>
        </w:rPr>
        <w:t>（二）各盟市主管部门对本地区县域商业建设行动负总</w:t>
      </w:r>
      <w:r>
        <w:rPr>
          <w:spacing w:val="3"/>
        </w:rPr>
        <w:t xml:space="preserve"> </w:t>
      </w:r>
      <w:r>
        <w:rPr>
          <w:spacing w:val="10"/>
        </w:rPr>
        <w:t>责，制定属地县域商业建设行动方案，明确年</w:t>
      </w:r>
      <w:r>
        <w:rPr>
          <w:spacing w:val="9"/>
        </w:rPr>
        <w:t>度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推</w:t>
      </w:r>
      <w:r>
        <w:t xml:space="preserve"> 荐名单、项目清单与分年度计划，履行项目审核、指导培训、</w:t>
      </w:r>
    </w:p>
    <w:p w14:paraId="456D63D1">
      <w:pPr>
        <w:spacing w:line="312" w:lineRule="auto"/>
        <w:sectPr>
          <w:footerReference r:id="rId9" w:type="default"/>
          <w:pgSz w:w="11906" w:h="16838"/>
          <w:pgMar w:top="1431" w:right="1704" w:bottom="1179" w:left="1785" w:header="0" w:footer="964" w:gutter="0"/>
          <w:cols w:space="720" w:num="1"/>
        </w:sectPr>
      </w:pPr>
    </w:p>
    <w:p w14:paraId="5D4E5C4B">
      <w:pPr>
        <w:pStyle w:val="2"/>
        <w:spacing w:before="212" w:line="357" w:lineRule="auto"/>
        <w:ind w:left="32" w:right="71" w:firstLine="3"/>
      </w:pPr>
      <w:r>
        <w:rPr>
          <w:spacing w:val="8"/>
        </w:rPr>
        <w:t>监督检查等属地管理责任，组织开展绩效评价，并对年度任</w:t>
      </w:r>
      <w:r>
        <w:rPr>
          <w:spacing w:val="12"/>
        </w:rPr>
        <w:t xml:space="preserve"> </w:t>
      </w:r>
      <w:r>
        <w:rPr>
          <w:spacing w:val="3"/>
        </w:rPr>
        <w:t>务完成情况进行评估。</w:t>
      </w:r>
    </w:p>
    <w:p w14:paraId="08177659">
      <w:pPr>
        <w:pStyle w:val="2"/>
        <w:spacing w:before="7" w:line="330" w:lineRule="auto"/>
        <w:ind w:left="30" w:firstLine="629"/>
      </w:pPr>
      <w:r>
        <w:rPr>
          <w:spacing w:val="8"/>
        </w:rPr>
        <w:t>（三）</w:t>
      </w:r>
      <w:r>
        <w:rPr>
          <w:spacing w:val="-32"/>
        </w:rPr>
        <w:t xml:space="preserve"> </w:t>
      </w:r>
      <w:r>
        <w:rPr>
          <w:spacing w:val="8"/>
        </w:rPr>
        <w:t>各旗县（区）人民政府是县域商业建设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试点县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的直接责任主体，盟市主管部门是自治区级项</w:t>
      </w:r>
      <w:r>
        <w:rPr>
          <w:spacing w:val="8"/>
        </w:rPr>
        <w:t>目的直接责任</w:t>
      </w:r>
      <w:r>
        <w:t xml:space="preserve"> </w:t>
      </w:r>
      <w:r>
        <w:rPr>
          <w:spacing w:val="8"/>
        </w:rPr>
        <w:t>主体，负责项目具体实施和绩效管理，开展工作规划、确定</w:t>
      </w:r>
      <w:r>
        <w:rPr>
          <w:spacing w:val="18"/>
        </w:rPr>
        <w:t xml:space="preserve"> </w:t>
      </w:r>
      <w:r>
        <w:rPr>
          <w:spacing w:val="8"/>
        </w:rPr>
        <w:t>项目、资金使用、项目实施、绩效自评、项目验收等各项工</w:t>
      </w:r>
      <w:r>
        <w:rPr>
          <w:spacing w:val="17"/>
        </w:rPr>
        <w:t xml:space="preserve"> </w:t>
      </w:r>
      <w:r>
        <w:rPr>
          <w:spacing w:val="-4"/>
        </w:rPr>
        <w:t>作。</w:t>
      </w:r>
    </w:p>
    <w:p w14:paraId="444F7EB0">
      <w:pPr>
        <w:pStyle w:val="2"/>
        <w:spacing w:before="224" w:line="323" w:lineRule="auto"/>
        <w:ind w:left="27" w:right="71" w:firstLine="631"/>
      </w:pPr>
      <w:r>
        <w:rPr>
          <w:spacing w:val="9"/>
        </w:rPr>
        <w:t>（四）建立健全项目监管机制。建立专项工作机制，明</w:t>
      </w:r>
      <w:r>
        <w:rPr>
          <w:spacing w:val="1"/>
        </w:rPr>
        <w:t xml:space="preserve"> </w:t>
      </w:r>
      <w:r>
        <w:rPr>
          <w:spacing w:val="9"/>
        </w:rPr>
        <w:t>确项目监管责任人；建立管理制度，明确具体</w:t>
      </w:r>
      <w:r>
        <w:rPr>
          <w:spacing w:val="8"/>
        </w:rPr>
        <w:t>管理内容与措</w:t>
      </w:r>
      <w:r>
        <w:t xml:space="preserve"> </w:t>
      </w:r>
      <w:r>
        <w:rPr>
          <w:spacing w:val="9"/>
        </w:rPr>
        <w:t>施；建立资金管理制度，明确资金拨付及验收标</w:t>
      </w:r>
      <w:r>
        <w:rPr>
          <w:spacing w:val="8"/>
        </w:rPr>
        <w:t>准；按照自</w:t>
      </w:r>
      <w:r>
        <w:t xml:space="preserve"> </w:t>
      </w:r>
      <w:r>
        <w:rPr>
          <w:spacing w:val="3"/>
        </w:rPr>
        <w:t>治区</w:t>
      </w:r>
      <w:r>
        <w:rPr>
          <w:spacing w:val="-69"/>
        </w:rPr>
        <w:t xml:space="preserve"> </w:t>
      </w:r>
      <w:r>
        <w:rPr>
          <w:spacing w:val="3"/>
        </w:rPr>
        <w:t>日常监管制度，落实监管责任。</w:t>
      </w:r>
    </w:p>
    <w:p w14:paraId="088D9BB0">
      <w:pPr>
        <w:pStyle w:val="2"/>
        <w:spacing w:before="230" w:line="312" w:lineRule="auto"/>
        <w:ind w:left="29" w:right="71" w:firstLine="630"/>
      </w:pPr>
      <w:r>
        <w:rPr>
          <w:spacing w:val="6"/>
        </w:rPr>
        <w:t>（五）各盟市主管部门、旗县（</w:t>
      </w:r>
      <w:r>
        <w:rPr>
          <w:spacing w:val="-83"/>
        </w:rPr>
        <w:t xml:space="preserve"> </w:t>
      </w:r>
      <w:r>
        <w:rPr>
          <w:spacing w:val="6"/>
        </w:rPr>
        <w:t>区）人民政府应按照政</w:t>
      </w:r>
      <w:r>
        <w:t xml:space="preserve"> </w:t>
      </w:r>
      <w:r>
        <w:rPr>
          <w:spacing w:val="9"/>
        </w:rPr>
        <w:t>府信息公开规定，健全项目和资金信息公开</w:t>
      </w:r>
      <w:r>
        <w:rPr>
          <w:spacing w:val="8"/>
        </w:rPr>
        <w:t>机制，主动接受</w:t>
      </w:r>
      <w:r>
        <w:t xml:space="preserve"> </w:t>
      </w:r>
      <w:r>
        <w:rPr>
          <w:spacing w:val="2"/>
        </w:rPr>
        <w:t>有关部门和社会监督。</w:t>
      </w:r>
    </w:p>
    <w:p w14:paraId="1B33BB13">
      <w:pPr>
        <w:pStyle w:val="2"/>
        <w:spacing w:before="228" w:line="323" w:lineRule="auto"/>
        <w:ind w:left="25" w:right="69" w:firstLine="634"/>
      </w:pPr>
      <w:r>
        <w:rPr>
          <w:spacing w:val="5"/>
        </w:rPr>
        <w:t>（六）</w:t>
      </w:r>
      <w:r>
        <w:rPr>
          <w:rFonts w:ascii="Times New Roman" w:hAnsi="Times New Roman" w:eastAsia="Times New Roman" w:cs="Times New Roman"/>
          <w:spacing w:val="5"/>
        </w:rPr>
        <w:t xml:space="preserve">2020—2021 </w:t>
      </w:r>
      <w:r>
        <w:rPr>
          <w:spacing w:val="5"/>
        </w:rPr>
        <w:t>年度电子商务进农村综</w:t>
      </w:r>
      <w:r>
        <w:rPr>
          <w:spacing w:val="4"/>
        </w:rPr>
        <w:t>合示范资金拨</w:t>
      </w:r>
      <w:r>
        <w:t xml:space="preserve"> </w:t>
      </w:r>
      <w:r>
        <w:rPr>
          <w:spacing w:val="5"/>
        </w:rPr>
        <w:t>付情况、</w:t>
      </w:r>
      <w:r>
        <w:rPr>
          <w:rFonts w:ascii="Times New Roman" w:hAnsi="Times New Roman" w:eastAsia="Times New Roman" w:cs="Times New Roman"/>
          <w:spacing w:val="5"/>
        </w:rPr>
        <w:t xml:space="preserve">2022—2024 </w:t>
      </w:r>
      <w:r>
        <w:rPr>
          <w:spacing w:val="5"/>
        </w:rPr>
        <w:t>年度县域商业试点县资金拨付情况</w:t>
      </w:r>
      <w:r>
        <w:rPr>
          <w:spacing w:val="4"/>
        </w:rPr>
        <w:t>将纳</w:t>
      </w:r>
      <w:r>
        <w:t xml:space="preserve"> </w:t>
      </w:r>
      <w:r>
        <w:rPr>
          <w:spacing w:val="9"/>
        </w:rPr>
        <w:t>入评审指标体系，评审时根据盟市拨付情况对申报旗县进行</w:t>
      </w:r>
      <w:r>
        <w:t xml:space="preserve"> </w:t>
      </w:r>
      <w:r>
        <w:rPr>
          <w:spacing w:val="7"/>
        </w:rPr>
        <w:t>赋分。未按完成资金拨付的电商示范县不得申报。</w:t>
      </w:r>
    </w:p>
    <w:p w14:paraId="02DFF358">
      <w:pPr>
        <w:spacing w:before="231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七、报送时间及数量要求</w:t>
      </w:r>
    </w:p>
    <w:p w14:paraId="3AFB03B5">
      <w:pPr>
        <w:pStyle w:val="2"/>
        <w:spacing w:before="216" w:line="357" w:lineRule="auto"/>
        <w:ind w:left="18" w:right="68" w:firstLine="647"/>
        <w:jc w:val="both"/>
      </w:pPr>
      <w:r>
        <w:rPr>
          <w:spacing w:val="1"/>
        </w:rPr>
        <w:t>各盟市主管部门于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2025 </w:t>
      </w:r>
      <w:r>
        <w:rPr>
          <w:spacing w:val="1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15  </w:t>
      </w:r>
      <w:r>
        <w:rPr>
          <w:spacing w:val="1"/>
        </w:rPr>
        <w:t>日前，统一将盟市推</w:t>
      </w:r>
      <w:r>
        <w:t xml:space="preserve"> </w:t>
      </w:r>
      <w:r>
        <w:rPr>
          <w:spacing w:val="9"/>
        </w:rPr>
        <w:t>荐文件、试点县及自治区项目申报材料、公示情况等报送至</w:t>
      </w:r>
      <w:r>
        <w:rPr>
          <w:spacing w:val="3"/>
        </w:rPr>
        <w:t xml:space="preserve"> </w:t>
      </w:r>
      <w:r>
        <w:rPr>
          <w:spacing w:val="14"/>
        </w:rPr>
        <w:t>自治区商务厅，逾期不再接受申报。纸质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 xml:space="preserve">7 </w:t>
      </w:r>
      <w:r>
        <w:rPr>
          <w:spacing w:val="14"/>
        </w:rPr>
        <w:t>份，电子版</w:t>
      </w:r>
      <w:r>
        <w:rPr>
          <w:spacing w:val="13"/>
        </w:rPr>
        <w:t>3份</w:t>
      </w:r>
      <w:r>
        <w:t xml:space="preserve"> 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 xml:space="preserve">PDF </w:t>
      </w:r>
      <w:r>
        <w:rPr>
          <w:spacing w:val="-5"/>
        </w:rPr>
        <w:t>格式文件）。</w:t>
      </w:r>
    </w:p>
    <w:p w14:paraId="46AEBAE0">
      <w:pPr>
        <w:spacing w:line="357" w:lineRule="auto"/>
        <w:sectPr>
          <w:footerReference r:id="rId10" w:type="default"/>
          <w:pgSz w:w="11906" w:h="16838"/>
          <w:pgMar w:top="1431" w:right="1730" w:bottom="1175" w:left="1785" w:header="0" w:footer="964" w:gutter="0"/>
          <w:cols w:space="720" w:num="1"/>
        </w:sectPr>
      </w:pPr>
    </w:p>
    <w:p w14:paraId="32A76815">
      <w:pPr>
        <w:spacing w:before="215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八、联系方式</w:t>
      </w:r>
    </w:p>
    <w:p w14:paraId="7841DCE1">
      <w:pPr>
        <w:spacing w:line="157" w:lineRule="exact"/>
      </w:pPr>
    </w:p>
    <w:p w14:paraId="74B1B3CD">
      <w:pPr>
        <w:spacing w:line="157" w:lineRule="exact"/>
        <w:sectPr>
          <w:footerReference r:id="rId11" w:type="default"/>
          <w:pgSz w:w="11906" w:h="16838"/>
          <w:pgMar w:top="1431" w:right="1785" w:bottom="1179" w:left="1785" w:header="0" w:footer="964" w:gutter="0"/>
          <w:cols w:equalWidth="0" w:num="1">
            <w:col w:w="8334"/>
          </w:cols>
        </w:sectPr>
      </w:pPr>
    </w:p>
    <w:p w14:paraId="7D0CE73D">
      <w:pPr>
        <w:pStyle w:val="2"/>
        <w:spacing w:before="63" w:line="219" w:lineRule="auto"/>
        <w:ind w:left="681"/>
      </w:pPr>
      <w:r>
        <w:rPr>
          <w:spacing w:val="6"/>
        </w:rPr>
        <w:t>商务厅：韩尚君</w:t>
      </w:r>
    </w:p>
    <w:p w14:paraId="44FF0377">
      <w:pPr>
        <w:pStyle w:val="2"/>
        <w:spacing w:before="232" w:line="219" w:lineRule="auto"/>
        <w:ind w:left="671"/>
      </w:pPr>
      <w:r>
        <w:rPr>
          <w:spacing w:val="5"/>
        </w:rPr>
        <w:t>财政厅：李</w:t>
      </w:r>
      <w:r>
        <w:rPr>
          <w:spacing w:val="20"/>
        </w:rPr>
        <w:t xml:space="preserve">  </w:t>
      </w:r>
      <w:r>
        <w:rPr>
          <w:spacing w:val="5"/>
        </w:rPr>
        <w:t>荪</w:t>
      </w:r>
    </w:p>
    <w:p w14:paraId="0F6DCDEA">
      <w:pPr>
        <w:pStyle w:val="2"/>
        <w:spacing w:before="232" w:line="219" w:lineRule="auto"/>
        <w:ind w:left="669"/>
      </w:pPr>
      <w:r>
        <w:rPr>
          <w:spacing w:val="7"/>
        </w:rPr>
        <w:t>农牧厅：曹丽霞</w:t>
      </w:r>
    </w:p>
    <w:p w14:paraId="2EB41427">
      <w:pPr>
        <w:spacing w:line="140" w:lineRule="auto"/>
        <w:rPr>
          <w:rFonts w:ascii="Arial"/>
          <w:sz w:val="2"/>
        </w:rPr>
      </w:pPr>
    </w:p>
    <w:p w14:paraId="15194F6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8450B98">
      <w:pPr>
        <w:pStyle w:val="2"/>
        <w:spacing w:before="61"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联系方式：</w:t>
      </w:r>
      <w:r>
        <w:rPr>
          <w:rFonts w:ascii="Times New Roman" w:hAnsi="Times New Roman" w:eastAsia="Times New Roman" w:cs="Times New Roman"/>
          <w:spacing w:val="5"/>
        </w:rPr>
        <w:t>6945209</w:t>
      </w:r>
    </w:p>
    <w:p w14:paraId="67E7C2BC">
      <w:pPr>
        <w:pStyle w:val="2"/>
        <w:spacing w:before="232"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联系方式：</w:t>
      </w:r>
      <w:r>
        <w:rPr>
          <w:rFonts w:ascii="Times New Roman" w:hAnsi="Times New Roman" w:eastAsia="Times New Roman" w:cs="Times New Roman"/>
          <w:spacing w:val="5"/>
        </w:rPr>
        <w:t>4192185</w:t>
      </w:r>
    </w:p>
    <w:p w14:paraId="524B59D5">
      <w:pPr>
        <w:pStyle w:val="2"/>
        <w:spacing w:before="232"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联系方式：</w:t>
      </w:r>
      <w:r>
        <w:rPr>
          <w:rFonts w:ascii="Times New Roman" w:hAnsi="Times New Roman" w:eastAsia="Times New Roman" w:cs="Times New Roman"/>
          <w:spacing w:val="5"/>
        </w:rPr>
        <w:t>6652090</w:t>
      </w:r>
    </w:p>
    <w:p w14:paraId="424F4413">
      <w:pPr>
        <w:spacing w:line="219" w:lineRule="auto"/>
        <w:rPr>
          <w:rFonts w:ascii="Times New Roman" w:hAnsi="Times New Roman" w:eastAsia="Times New Roman" w:cs="Times New Roman"/>
        </w:rPr>
        <w:sectPr>
          <w:type w:val="continuous"/>
          <w:pgSz w:w="11906" w:h="16838"/>
          <w:pgMar w:top="1431" w:right="1785" w:bottom="1179" w:left="1785" w:header="0" w:footer="964" w:gutter="0"/>
          <w:cols w:equalWidth="0" w:num="2">
            <w:col w:w="3448" w:space="100"/>
            <w:col w:w="4787"/>
          </w:cols>
        </w:sectPr>
      </w:pPr>
    </w:p>
    <w:p w14:paraId="3CDDC9D0">
      <w:pPr>
        <w:spacing w:line="356" w:lineRule="auto"/>
        <w:rPr>
          <w:rFonts w:ascii="Arial"/>
          <w:sz w:val="21"/>
        </w:rPr>
      </w:pPr>
    </w:p>
    <w:p w14:paraId="435977ED">
      <w:pPr>
        <w:spacing w:line="357" w:lineRule="auto"/>
        <w:rPr>
          <w:rFonts w:ascii="Arial"/>
          <w:sz w:val="21"/>
        </w:rPr>
      </w:pPr>
    </w:p>
    <w:p w14:paraId="1BE1FD01">
      <w:pPr>
        <w:pStyle w:val="2"/>
        <w:spacing w:before="101" w:line="219" w:lineRule="auto"/>
        <w:ind w:left="690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盟市审核推荐表</w:t>
      </w:r>
    </w:p>
    <w:p w14:paraId="53C69CF7">
      <w:pPr>
        <w:pStyle w:val="2"/>
        <w:spacing w:before="232" w:line="217" w:lineRule="auto"/>
        <w:jc w:val="righ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县域商业体系建设工作方案基本内容及具体要求</w:t>
      </w:r>
    </w:p>
    <w:p w14:paraId="333A7636">
      <w:pPr>
        <w:pStyle w:val="2"/>
        <w:spacing w:before="236" w:line="219" w:lineRule="auto"/>
        <w:ind w:left="1627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总体目标及年度分解任务</w:t>
      </w:r>
    </w:p>
    <w:p w14:paraId="097DF1D3">
      <w:pPr>
        <w:pStyle w:val="2"/>
        <w:spacing w:before="229" w:line="220" w:lineRule="auto"/>
        <w:ind w:right="15"/>
        <w:jc w:val="right"/>
      </w:pPr>
      <w:r>
        <w:rPr>
          <w:rFonts w:ascii="Times New Roman" w:hAnsi="Times New Roman" w:eastAsia="Times New Roman" w:cs="Times New Roman"/>
          <w:spacing w:val="8"/>
        </w:rPr>
        <w:t xml:space="preserve">4.2025 </w:t>
      </w:r>
      <w:r>
        <w:rPr>
          <w:spacing w:val="8"/>
        </w:rPr>
        <w:t>年度县域商业体系建设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试点县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计划支持</w:t>
      </w:r>
    </w:p>
    <w:p w14:paraId="6B99D252">
      <w:pPr>
        <w:pStyle w:val="2"/>
        <w:spacing w:before="234" w:line="221" w:lineRule="auto"/>
        <w:ind w:left="1947"/>
      </w:pPr>
      <w:r>
        <w:rPr>
          <w:spacing w:val="5"/>
        </w:rPr>
        <w:t>项目清单</w:t>
      </w:r>
    </w:p>
    <w:p w14:paraId="62B0BA8E">
      <w:pPr>
        <w:spacing w:line="263" w:lineRule="auto"/>
        <w:rPr>
          <w:rFonts w:ascii="Arial"/>
          <w:sz w:val="21"/>
        </w:rPr>
      </w:pPr>
    </w:p>
    <w:p w14:paraId="19B35698">
      <w:pPr>
        <w:spacing w:line="264" w:lineRule="auto"/>
        <w:rPr>
          <w:rFonts w:ascii="Arial"/>
          <w:sz w:val="21"/>
        </w:rPr>
      </w:pPr>
    </w:p>
    <w:p w14:paraId="44904724">
      <w:pPr>
        <w:spacing w:line="264" w:lineRule="auto"/>
        <w:rPr>
          <w:rFonts w:ascii="Arial"/>
          <w:sz w:val="21"/>
        </w:rPr>
      </w:pPr>
    </w:p>
    <w:p w14:paraId="70AD9299">
      <w:pPr>
        <w:spacing w:line="264" w:lineRule="auto"/>
        <w:rPr>
          <w:rFonts w:ascii="Arial"/>
          <w:sz w:val="21"/>
        </w:rPr>
      </w:pPr>
    </w:p>
    <w:p w14:paraId="76138BF5">
      <w:pPr>
        <w:spacing w:line="264" w:lineRule="auto"/>
        <w:rPr>
          <w:rFonts w:ascii="Arial"/>
          <w:sz w:val="21"/>
        </w:rPr>
      </w:pPr>
    </w:p>
    <w:p w14:paraId="4EAA620B">
      <w:pPr>
        <w:pStyle w:val="2"/>
        <w:spacing w:before="101" w:line="219" w:lineRule="auto"/>
        <w:ind w:left="39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-688975</wp:posOffset>
            </wp:positionV>
            <wp:extent cx="1619885" cy="16198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内蒙古自治区商务厅</w:t>
      </w:r>
      <w:r>
        <w:rPr>
          <w:spacing w:val="10"/>
        </w:rPr>
        <w:t xml:space="preserve">            </w:t>
      </w:r>
      <w:r>
        <w:rPr>
          <w:spacing w:val="3"/>
        </w:rPr>
        <w:t>内蒙古自治区财政厅</w:t>
      </w:r>
    </w:p>
    <w:p w14:paraId="1A65BC1D">
      <w:pPr>
        <w:spacing w:line="274" w:lineRule="auto"/>
        <w:rPr>
          <w:rFonts w:ascii="Arial"/>
          <w:sz w:val="21"/>
        </w:rPr>
      </w:pPr>
    </w:p>
    <w:p w14:paraId="5F7FB35D">
      <w:pPr>
        <w:spacing w:line="274" w:lineRule="auto"/>
        <w:rPr>
          <w:rFonts w:ascii="Arial"/>
          <w:sz w:val="21"/>
        </w:rPr>
      </w:pPr>
    </w:p>
    <w:p w14:paraId="49B106A1">
      <w:pPr>
        <w:spacing w:line="274" w:lineRule="auto"/>
        <w:rPr>
          <w:rFonts w:ascii="Arial"/>
          <w:sz w:val="21"/>
        </w:rPr>
      </w:pPr>
    </w:p>
    <w:p w14:paraId="0C46809E">
      <w:pPr>
        <w:spacing w:line="274" w:lineRule="auto"/>
        <w:rPr>
          <w:rFonts w:ascii="Arial"/>
          <w:sz w:val="21"/>
        </w:rPr>
      </w:pPr>
    </w:p>
    <w:p w14:paraId="4DE5B7BE">
      <w:pPr>
        <w:spacing w:line="274" w:lineRule="auto"/>
        <w:rPr>
          <w:rFonts w:ascii="Arial"/>
          <w:sz w:val="21"/>
        </w:rPr>
      </w:pPr>
    </w:p>
    <w:p w14:paraId="0FE9D3C7">
      <w:pPr>
        <w:spacing w:line="274" w:lineRule="auto"/>
        <w:rPr>
          <w:rFonts w:ascii="Arial"/>
          <w:sz w:val="21"/>
        </w:rPr>
      </w:pPr>
    </w:p>
    <w:p w14:paraId="01819B0C">
      <w:pPr>
        <w:spacing w:line="275" w:lineRule="auto"/>
        <w:rPr>
          <w:rFonts w:ascii="Arial"/>
          <w:sz w:val="21"/>
        </w:rPr>
      </w:pPr>
    </w:p>
    <w:p w14:paraId="470EFED1">
      <w:pPr>
        <w:pStyle w:val="2"/>
        <w:spacing w:before="102" w:line="219" w:lineRule="auto"/>
        <w:ind w:left="2632"/>
      </w:pPr>
      <w:r>
        <w:rPr>
          <w:spacing w:val="3"/>
        </w:rPr>
        <w:t>内蒙古自治区农牧厅</w:t>
      </w:r>
    </w:p>
    <w:p w14:paraId="4A762C53">
      <w:pPr>
        <w:pStyle w:val="2"/>
        <w:spacing w:before="232" w:line="189" w:lineRule="auto"/>
        <w:ind w:left="2934"/>
      </w:pP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6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6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19  </w:t>
      </w:r>
      <w:r>
        <w:rPr>
          <w:spacing w:val="-6"/>
        </w:rPr>
        <w:t>日</w:t>
      </w:r>
    </w:p>
    <w:p w14:paraId="174D79B7">
      <w:pPr>
        <w:spacing w:line="189" w:lineRule="auto"/>
        <w:sectPr>
          <w:type w:val="continuous"/>
          <w:pgSz w:w="11906" w:h="16838"/>
          <w:pgMar w:top="1431" w:right="1785" w:bottom="1179" w:left="1785" w:header="0" w:footer="964" w:gutter="0"/>
          <w:cols w:equalWidth="0" w:num="1">
            <w:col w:w="8334"/>
          </w:cols>
        </w:sectPr>
      </w:pPr>
    </w:p>
    <w:p w14:paraId="468731FA">
      <w:pPr>
        <w:spacing w:before="162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EBC5164">
      <w:pPr>
        <w:spacing w:before="309" w:line="213" w:lineRule="auto"/>
        <w:ind w:left="273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盟市审核推荐表</w:t>
      </w:r>
    </w:p>
    <w:p w14:paraId="6B12CBCB">
      <w:pPr>
        <w:spacing w:line="143" w:lineRule="exact"/>
      </w:pPr>
    </w:p>
    <w:tbl>
      <w:tblPr>
        <w:tblStyle w:val="5"/>
        <w:tblW w:w="86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0"/>
      </w:tblGrid>
      <w:tr w14:paraId="381E5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90" w:type="dxa"/>
            <w:vAlign w:val="top"/>
          </w:tcPr>
          <w:p w14:paraId="71C081C7">
            <w:pPr>
              <w:spacing w:before="177" w:line="214" w:lineRule="auto"/>
              <w:ind w:left="137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审核单位：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                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审核日期：</w:t>
            </w:r>
          </w:p>
        </w:tc>
      </w:tr>
      <w:tr w14:paraId="07B0D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8690" w:type="dxa"/>
            <w:vAlign w:val="top"/>
          </w:tcPr>
          <w:p w14:paraId="17891FD0">
            <w:pPr>
              <w:spacing w:before="173" w:line="216" w:lineRule="auto"/>
              <w:ind w:left="118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推荐名单：</w:t>
            </w:r>
          </w:p>
        </w:tc>
      </w:tr>
      <w:tr w14:paraId="25F1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8690" w:type="dxa"/>
            <w:vAlign w:val="top"/>
          </w:tcPr>
          <w:p w14:paraId="36D23D9E">
            <w:pPr>
              <w:spacing w:before="173" w:line="411" w:lineRule="auto"/>
              <w:ind w:left="114" w:firstLine="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审核意见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>：（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要求明确说明项目是否已开工或者是否具备开工条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件，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是否取得相应土地、施工许可等，不得推荐未取得相应许可的项目。）</w:t>
            </w:r>
          </w:p>
        </w:tc>
      </w:tr>
      <w:tr w14:paraId="6BE0F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8690" w:type="dxa"/>
            <w:vAlign w:val="top"/>
          </w:tcPr>
          <w:p w14:paraId="6EA7EE73">
            <w:pPr>
              <w:spacing w:before="174" w:line="215" w:lineRule="auto"/>
              <w:ind w:left="137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审核人签字：</w:t>
            </w:r>
          </w:p>
        </w:tc>
      </w:tr>
      <w:tr w14:paraId="65279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8690" w:type="dxa"/>
            <w:vAlign w:val="top"/>
          </w:tcPr>
          <w:p w14:paraId="0DE55BA2">
            <w:pPr>
              <w:spacing w:before="176" w:line="214" w:lineRule="auto"/>
              <w:ind w:left="137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审核单位盖章：</w:t>
            </w:r>
          </w:p>
        </w:tc>
      </w:tr>
    </w:tbl>
    <w:p w14:paraId="4A190F7D">
      <w:pPr>
        <w:rPr>
          <w:rFonts w:ascii="Arial"/>
          <w:sz w:val="21"/>
        </w:rPr>
      </w:pPr>
    </w:p>
    <w:p w14:paraId="4E1803D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522" w:bottom="1179" w:left="1687" w:header="0" w:footer="964" w:gutter="0"/>
          <w:cols w:space="720" w:num="1"/>
        </w:sectPr>
      </w:pPr>
    </w:p>
    <w:p w14:paraId="666F5D4E">
      <w:pPr>
        <w:spacing w:line="313" w:lineRule="auto"/>
        <w:rPr>
          <w:rFonts w:ascii="Arial"/>
          <w:sz w:val="21"/>
        </w:rPr>
      </w:pPr>
    </w:p>
    <w:p w14:paraId="2B4E7F22">
      <w:pPr>
        <w:spacing w:line="313" w:lineRule="auto"/>
        <w:rPr>
          <w:rFonts w:ascii="Arial"/>
          <w:sz w:val="21"/>
        </w:rPr>
      </w:pPr>
    </w:p>
    <w:p w14:paraId="5439025F">
      <w:pPr>
        <w:spacing w:before="160" w:line="214" w:lineRule="auto"/>
        <w:ind w:left="10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申报旗县（区）县域商业体系建设工作方案</w:t>
      </w:r>
    </w:p>
    <w:p w14:paraId="5B85610A">
      <w:pPr>
        <w:spacing w:before="13" w:line="655" w:lineRule="exact"/>
        <w:ind w:left="221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position w:val="4"/>
          <w:sz w:val="43"/>
          <w:szCs w:val="43"/>
        </w:rPr>
        <w:t>基本内容及具体要求</w:t>
      </w:r>
    </w:p>
    <w:p w14:paraId="59523131">
      <w:pPr>
        <w:spacing w:line="283" w:lineRule="auto"/>
        <w:rPr>
          <w:rFonts w:ascii="Arial"/>
          <w:sz w:val="21"/>
        </w:rPr>
      </w:pPr>
    </w:p>
    <w:p w14:paraId="5E7947C0">
      <w:pPr>
        <w:spacing w:line="283" w:lineRule="auto"/>
        <w:rPr>
          <w:rFonts w:ascii="Arial"/>
          <w:sz w:val="21"/>
        </w:rPr>
      </w:pPr>
    </w:p>
    <w:p w14:paraId="305CFB00">
      <w:pPr>
        <w:pStyle w:val="2"/>
        <w:spacing w:before="100" w:line="355" w:lineRule="auto"/>
        <w:ind w:left="71" w:right="41" w:firstLine="591"/>
      </w:pPr>
      <w:r>
        <w:rPr>
          <w:rFonts w:ascii="黑体" w:hAnsi="黑体" w:eastAsia="黑体" w:cs="黑体"/>
          <w:spacing w:val="-2"/>
        </w:rPr>
        <w:t>一、基本情况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2022—2025</w:t>
      </w:r>
      <w:r>
        <w:rPr>
          <w:spacing w:val="-2"/>
        </w:rPr>
        <w:t>年度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试点县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简要提供该部分</w:t>
      </w:r>
      <w:r>
        <w:rPr>
          <w:spacing w:val="10"/>
        </w:rPr>
        <w:t xml:space="preserve"> </w:t>
      </w:r>
      <w:r>
        <w:rPr>
          <w:spacing w:val="-16"/>
        </w:rPr>
        <w:t>内容）</w:t>
      </w:r>
    </w:p>
    <w:p w14:paraId="3F13B44C">
      <w:pPr>
        <w:pStyle w:val="2"/>
        <w:spacing w:before="7" w:line="311" w:lineRule="auto"/>
        <w:ind w:left="34" w:right="38" w:firstLine="588"/>
      </w:pP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KaiTi_GB2312" w:hAnsi="KaiTi_GB2312" w:eastAsia="KaiTi_GB2312" w:cs="KaiTi_GB2312"/>
          <w:spacing w:val="5"/>
        </w:rPr>
        <w:t>一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rFonts w:ascii="KaiTi_GB2312" w:hAnsi="KaiTi_GB2312" w:eastAsia="KaiTi_GB2312" w:cs="KaiTi_GB2312"/>
          <w:spacing w:val="5"/>
        </w:rPr>
        <w:t>县域商业概况。</w:t>
      </w:r>
      <w:r>
        <w:rPr>
          <w:spacing w:val="5"/>
        </w:rPr>
        <w:t>旗县（区）乡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镇、街道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、行政村的</w:t>
      </w:r>
      <w:r>
        <w:rPr>
          <w:spacing w:val="2"/>
        </w:rPr>
        <w:t xml:space="preserve"> </w:t>
      </w:r>
      <w:r>
        <w:rPr>
          <w:spacing w:val="6"/>
        </w:rPr>
        <w:t>数量、人口、</w:t>
      </w:r>
      <w:r>
        <w:rPr>
          <w:spacing w:val="-74"/>
        </w:rPr>
        <w:t xml:space="preserve"> </w:t>
      </w:r>
      <w:r>
        <w:rPr>
          <w:spacing w:val="6"/>
        </w:rPr>
        <w:t>消费等基本情况；县域主要商业设施数量、覆</w:t>
      </w:r>
      <w:r>
        <w:t xml:space="preserve"> </w:t>
      </w:r>
      <w:r>
        <w:rPr>
          <w:spacing w:val="-6"/>
        </w:rPr>
        <w:t>盖率、基本功能等摸底数据汇总情况。</w:t>
      </w:r>
    </w:p>
    <w:p w14:paraId="0F623F2A">
      <w:pPr>
        <w:pStyle w:val="2"/>
        <w:spacing w:before="235" w:line="323" w:lineRule="auto"/>
        <w:ind w:left="29" w:firstLine="593"/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二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前期工作进展。</w:t>
      </w:r>
      <w:r>
        <w:rPr>
          <w:spacing w:val="-9"/>
        </w:rPr>
        <w:t>县域商业组织实施情况，包</w:t>
      </w:r>
      <w:r>
        <w:rPr>
          <w:spacing w:val="-10"/>
        </w:rPr>
        <w:t>括建立县域</w:t>
      </w:r>
      <w:r>
        <w:t xml:space="preserve"> </w:t>
      </w:r>
      <w:r>
        <w:rPr>
          <w:spacing w:val="-3"/>
        </w:rPr>
        <w:t>商业体系领导小组，成立商务、财政、住建、自然资源、农业</w:t>
      </w:r>
      <w:r>
        <w:rPr>
          <w:spacing w:val="13"/>
        </w:rPr>
        <w:t xml:space="preserve"> </w:t>
      </w:r>
      <w:r>
        <w:rPr>
          <w:spacing w:val="-12"/>
        </w:rPr>
        <w:t>农村、供销社和邮政等部门参加的工作协调机制和责任</w:t>
      </w:r>
      <w:r>
        <w:rPr>
          <w:spacing w:val="-13"/>
        </w:rPr>
        <w:t>分工等，</w:t>
      </w:r>
      <w:r>
        <w:t xml:space="preserve"> </w:t>
      </w:r>
      <w:r>
        <w:rPr>
          <w:spacing w:val="1"/>
        </w:rPr>
        <w:t>已开展工作、取得的成效和存在问题。</w:t>
      </w:r>
    </w:p>
    <w:p w14:paraId="639E584B">
      <w:pPr>
        <w:spacing w:before="228" w:line="226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二、目标任务</w:t>
      </w:r>
    </w:p>
    <w:p w14:paraId="4D62DC85">
      <w:pPr>
        <w:pStyle w:val="2"/>
        <w:spacing w:before="221" w:line="334" w:lineRule="auto"/>
        <w:ind w:left="34" w:right="25" w:firstLine="58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一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总体目标和年度分解任务。</w:t>
      </w:r>
      <w:r>
        <w:rPr>
          <w:spacing w:val="-9"/>
        </w:rPr>
        <w:t>对照《县域商业建设指南》</w:t>
      </w:r>
      <w:r>
        <w:rPr>
          <w:spacing w:val="8"/>
        </w:rPr>
        <w:t xml:space="preserve"> </w:t>
      </w:r>
      <w:r>
        <w:rPr>
          <w:spacing w:val="-3"/>
        </w:rPr>
        <w:t>要求，提出县域商业总体目标，包括县域商贸综合体和物流配</w:t>
      </w:r>
      <w:r>
        <w:rPr>
          <w:spacing w:val="10"/>
        </w:rPr>
        <w:t xml:space="preserve"> </w:t>
      </w:r>
      <w:r>
        <w:rPr>
          <w:spacing w:val="-3"/>
        </w:rPr>
        <w:t>送中心总体布局、乡镇商贸服务中心覆盖率、快递行政村覆盖</w:t>
      </w:r>
      <w:r>
        <w:rPr>
          <w:spacing w:val="4"/>
        </w:rPr>
        <w:t xml:space="preserve"> </w:t>
      </w:r>
      <w:r>
        <w:rPr>
          <w:spacing w:val="-3"/>
        </w:rPr>
        <w:t>率等；结合摸底数据和总体目标，制定工作任务。目标任务要</w:t>
      </w:r>
      <w:r>
        <w:rPr>
          <w:spacing w:val="5"/>
        </w:rPr>
        <w:t xml:space="preserve"> </w:t>
      </w:r>
      <w:r>
        <w:rPr>
          <w:spacing w:val="3"/>
        </w:rPr>
        <w:t>可量化、可考核，明确时间表、路线图和责任分工。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请填制</w:t>
      </w:r>
      <w:r>
        <w:rPr>
          <w:spacing w:val="5"/>
        </w:rPr>
        <w:t xml:space="preserve"> </w:t>
      </w:r>
      <w:r>
        <w:rPr>
          <w:spacing w:val="7"/>
        </w:rPr>
        <w:t>总体目标及年度分解任务表</w:t>
      </w:r>
      <w:r>
        <w:rPr>
          <w:rFonts w:ascii="Times New Roman" w:hAnsi="Times New Roman" w:eastAsia="Times New Roman" w:cs="Times New Roman"/>
          <w:spacing w:val="7"/>
        </w:rPr>
        <w:t>)</w:t>
      </w:r>
    </w:p>
    <w:p w14:paraId="56A07E05">
      <w:pPr>
        <w:pStyle w:val="2"/>
        <w:spacing w:before="236" w:line="287" w:lineRule="auto"/>
        <w:ind w:left="40" w:right="38" w:firstLine="582"/>
      </w:pPr>
      <w:r>
        <w:rPr>
          <w:rFonts w:ascii="Times New Roman" w:hAnsi="Times New Roman" w:eastAsia="Times New Roman" w:cs="Times New Roman"/>
          <w:spacing w:val="-10"/>
        </w:rPr>
        <w:t>(</w:t>
      </w:r>
      <w:r>
        <w:rPr>
          <w:rFonts w:ascii="KaiTi_GB2312" w:hAnsi="KaiTi_GB2312" w:eastAsia="KaiTi_GB2312" w:cs="KaiTi_GB2312"/>
          <w:spacing w:val="-10"/>
        </w:rPr>
        <w:t>二</w:t>
      </w:r>
      <w:r>
        <w:rPr>
          <w:rFonts w:ascii="Times New Roman" w:hAnsi="Times New Roman" w:eastAsia="Times New Roman" w:cs="Times New Roman"/>
          <w:spacing w:val="-10"/>
        </w:rPr>
        <w:t>)</w:t>
      </w:r>
      <w:r>
        <w:rPr>
          <w:rFonts w:ascii="KaiTi_GB2312" w:hAnsi="KaiTi_GB2312" w:eastAsia="KaiTi_GB2312" w:cs="KaiTi_GB2312"/>
          <w:spacing w:val="-10"/>
        </w:rPr>
        <w:t>县城商业建设类型和标准。</w:t>
      </w:r>
      <w:r>
        <w:rPr>
          <w:spacing w:val="-10"/>
        </w:rPr>
        <w:t>旗县（区）要达到的县域商</w:t>
      </w:r>
      <w:r>
        <w:rPr>
          <w:spacing w:val="14"/>
        </w:rPr>
        <w:t xml:space="preserve"> </w:t>
      </w:r>
      <w:r>
        <w:rPr>
          <w:spacing w:val="1"/>
        </w:rPr>
        <w:t>业建设类型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基本型、增强型、提升型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和标准。因地</w:t>
      </w:r>
      <w:r>
        <w:t>制宜、实</w:t>
      </w:r>
    </w:p>
    <w:p w14:paraId="09DF1861">
      <w:pPr>
        <w:spacing w:line="287" w:lineRule="auto"/>
        <w:sectPr>
          <w:headerReference r:id="rId13" w:type="default"/>
          <w:footerReference r:id="rId14" w:type="default"/>
          <w:pgSz w:w="11906" w:h="16838"/>
          <w:pgMar w:top="1996" w:right="1749" w:bottom="1179" w:left="1785" w:header="1505" w:footer="964" w:gutter="0"/>
          <w:cols w:space="720" w:num="1"/>
        </w:sectPr>
      </w:pPr>
    </w:p>
    <w:p w14:paraId="156E2D2B">
      <w:pPr>
        <w:spacing w:line="284" w:lineRule="auto"/>
        <w:rPr>
          <w:rFonts w:ascii="Arial"/>
          <w:sz w:val="21"/>
        </w:rPr>
      </w:pPr>
    </w:p>
    <w:p w14:paraId="5404C828">
      <w:pPr>
        <w:spacing w:line="284" w:lineRule="auto"/>
        <w:rPr>
          <w:rFonts w:ascii="Arial"/>
          <w:sz w:val="21"/>
        </w:rPr>
      </w:pPr>
    </w:p>
    <w:p w14:paraId="4629E2B8">
      <w:pPr>
        <w:spacing w:line="284" w:lineRule="auto"/>
        <w:rPr>
          <w:rFonts w:ascii="Arial"/>
          <w:sz w:val="21"/>
        </w:rPr>
      </w:pPr>
    </w:p>
    <w:p w14:paraId="1DA00201">
      <w:pPr>
        <w:spacing w:line="284" w:lineRule="auto"/>
        <w:rPr>
          <w:rFonts w:ascii="Arial"/>
          <w:sz w:val="21"/>
        </w:rPr>
      </w:pPr>
    </w:p>
    <w:p w14:paraId="6797B4AB">
      <w:pPr>
        <w:pStyle w:val="2"/>
        <w:spacing w:before="101" w:line="357" w:lineRule="auto"/>
        <w:ind w:left="64" w:right="34" w:hanging="28"/>
      </w:pPr>
      <w:r>
        <w:rPr>
          <w:spacing w:val="-3"/>
        </w:rPr>
        <w:t>事求是确定建设类型和标准，充分考虑地方差异、人口分布等</w:t>
      </w:r>
      <w:r>
        <w:rPr>
          <w:spacing w:val="2"/>
        </w:rPr>
        <w:t xml:space="preserve"> </w:t>
      </w:r>
      <w:r>
        <w:rPr>
          <w:spacing w:val="-1"/>
        </w:rPr>
        <w:t>因素，避免盲目拔高或降低标准。</w:t>
      </w:r>
    </w:p>
    <w:p w14:paraId="2920A701">
      <w:pPr>
        <w:spacing w:before="3" w:line="227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三、重点工作</w:t>
      </w:r>
    </w:p>
    <w:p w14:paraId="58C825BE">
      <w:pPr>
        <w:spacing w:before="220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补齐县域商业基础设施短板。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0D2F1241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完善县乡村三级物流配送体系。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609AF9A9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改善优化县域消费渠道。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37B77ED3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四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增强农村产品上行动能。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3A2CC8B5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五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提高生活服务供给质量。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466326FA">
      <w:pPr>
        <w:spacing w:before="232" w:line="191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4"/>
          <w:sz w:val="31"/>
          <w:szCs w:val="31"/>
        </w:rPr>
        <w:t>六）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健全废旧家电家具等再生资源回收体系。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4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)</w:t>
      </w:r>
    </w:p>
    <w:p w14:paraId="6D7F0974">
      <w:pPr>
        <w:spacing w:before="179" w:line="227" w:lineRule="auto"/>
        <w:ind w:left="6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四、项目计划</w:t>
      </w:r>
    </w:p>
    <w:p w14:paraId="064C11C0">
      <w:pPr>
        <w:pStyle w:val="2"/>
        <w:spacing w:before="221" w:line="357" w:lineRule="auto"/>
        <w:ind w:left="30" w:right="14" w:firstLine="578"/>
        <w:jc w:val="both"/>
        <w:rPr>
          <w:rFonts w:ascii="Times New Roman" w:hAnsi="Times New Roman" w:eastAsia="Times New Roman" w:cs="Times New Roman"/>
        </w:rPr>
      </w:pPr>
      <w:r>
        <w:rPr>
          <w:spacing w:val="-13"/>
        </w:rPr>
        <w:t>各旗县（区）拟支持项目名单以及项目选择程序、依据、责</w:t>
      </w:r>
      <w:r>
        <w:rPr>
          <w:spacing w:val="16"/>
        </w:rPr>
        <w:t xml:space="preserve"> </w:t>
      </w:r>
      <w:r>
        <w:rPr>
          <w:spacing w:val="-3"/>
        </w:rPr>
        <w:t>任主体等；拟支持的项目名称、资金使用比例、额度及管理方</w:t>
      </w:r>
      <w:r>
        <w:rPr>
          <w:spacing w:val="16"/>
        </w:rPr>
        <w:t xml:space="preserve"> </w:t>
      </w:r>
      <w:r>
        <w:rPr>
          <w:spacing w:val="-3"/>
        </w:rPr>
        <w:t>式。各项目应落实责任单位、考核安排、实施目标等，并注重</w:t>
      </w:r>
      <w:r>
        <w:rPr>
          <w:spacing w:val="12"/>
        </w:rPr>
        <w:t xml:space="preserve"> </w:t>
      </w:r>
      <w:r>
        <w:rPr>
          <w:spacing w:val="8"/>
        </w:rPr>
        <w:t>项目可持续性。</w:t>
      </w:r>
      <w:r>
        <w:rPr>
          <w:rFonts w:ascii="Times New Roman" w:hAnsi="Times New Roman" w:eastAsia="Times New Roman" w:cs="Times New Roman"/>
          <w:spacing w:val="8"/>
        </w:rPr>
        <w:t>(</w:t>
      </w:r>
      <w:r>
        <w:rPr>
          <w:spacing w:val="8"/>
        </w:rPr>
        <w:t>请填制县域商业项目清单</w:t>
      </w:r>
      <w:r>
        <w:rPr>
          <w:rFonts w:ascii="Times New Roman" w:hAnsi="Times New Roman" w:eastAsia="Times New Roman" w:cs="Times New Roman"/>
          <w:spacing w:val="8"/>
        </w:rPr>
        <w:t>)</w:t>
      </w:r>
    </w:p>
    <w:p w14:paraId="61573B8F">
      <w:pPr>
        <w:spacing w:before="3" w:line="357" w:lineRule="auto"/>
        <w:ind w:left="34" w:right="39" w:firstLine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五、保障机制（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2022—2025</w:t>
      </w:r>
      <w:r>
        <w:rPr>
          <w:rFonts w:ascii="黑体" w:hAnsi="黑体" w:eastAsia="黑体" w:cs="黑体"/>
          <w:spacing w:val="9"/>
          <w:sz w:val="31"/>
          <w:szCs w:val="31"/>
        </w:rPr>
        <w:t>年度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黑体" w:hAnsi="黑体" w:eastAsia="黑体" w:cs="黑体"/>
          <w:spacing w:val="8"/>
          <w:sz w:val="31"/>
          <w:szCs w:val="31"/>
        </w:rPr>
        <w:t>试点县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黑体" w:hAnsi="黑体" w:eastAsia="黑体" w:cs="黑体"/>
          <w:spacing w:val="8"/>
          <w:sz w:val="31"/>
          <w:szCs w:val="31"/>
        </w:rPr>
        <w:t>不用提供该部</w:t>
      </w:r>
      <w:r>
        <w:rPr>
          <w:rFonts w:ascii="黑体" w:hAnsi="黑体" w:eastAsia="黑体" w:cs="黑体"/>
          <w:sz w:val="31"/>
          <w:szCs w:val="31"/>
        </w:rPr>
        <w:t xml:space="preserve"> 分内容）</w:t>
      </w:r>
    </w:p>
    <w:p w14:paraId="010253C4">
      <w:pPr>
        <w:pStyle w:val="2"/>
        <w:spacing w:before="6" w:line="329" w:lineRule="auto"/>
        <w:ind w:left="17" w:firstLine="604"/>
      </w:pPr>
      <w:r>
        <w:rPr>
          <w:rFonts w:ascii="Times New Roman" w:hAnsi="Times New Roman" w:eastAsia="Times New Roman" w:cs="Times New Roman"/>
          <w:spacing w:val="-10"/>
        </w:rPr>
        <w:t>(</w:t>
      </w:r>
      <w:r>
        <w:rPr>
          <w:rFonts w:ascii="KaiTi_GB2312" w:hAnsi="KaiTi_GB2312" w:eastAsia="KaiTi_GB2312" w:cs="KaiTi_GB2312"/>
          <w:spacing w:val="-10"/>
        </w:rPr>
        <w:t>一</w:t>
      </w:r>
      <w:r>
        <w:rPr>
          <w:rFonts w:ascii="Times New Roman" w:hAnsi="Times New Roman" w:eastAsia="Times New Roman" w:cs="Times New Roman"/>
          <w:spacing w:val="-10"/>
        </w:rPr>
        <w:t>)</w:t>
      </w:r>
      <w:r>
        <w:rPr>
          <w:rFonts w:ascii="KaiTi_GB2312" w:hAnsi="KaiTi_GB2312" w:eastAsia="KaiTi_GB2312" w:cs="KaiTi_GB2312"/>
          <w:spacing w:val="-10"/>
        </w:rPr>
        <w:t>项目管理制度。</w:t>
      </w:r>
      <w:r>
        <w:rPr>
          <w:spacing w:val="-10"/>
        </w:rPr>
        <w:t>各旗县（区）制定的项目遴选、组织实</w:t>
      </w:r>
      <w:r>
        <w:rPr>
          <w:spacing w:val="17"/>
        </w:rPr>
        <w:t xml:space="preserve"> </w:t>
      </w:r>
      <w:r>
        <w:rPr>
          <w:spacing w:val="-3"/>
        </w:rPr>
        <w:t>施、资金拨付、监督考核工作机制。要求建立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企业目录</w:t>
      </w:r>
      <w:r>
        <w:rPr>
          <w:rFonts w:ascii="Times New Roman" w:hAnsi="Times New Roman" w:eastAsia="Times New Roman" w:cs="Times New Roman"/>
          <w:spacing w:val="-3"/>
        </w:rPr>
        <w:t>+</w:t>
      </w:r>
      <w:r>
        <w:rPr>
          <w:spacing w:val="-3"/>
        </w:rPr>
        <w:t>项目</w:t>
      </w:r>
      <w:r>
        <w:rPr>
          <w:spacing w:val="15"/>
        </w:rPr>
        <w:t xml:space="preserve"> </w:t>
      </w:r>
      <w:r>
        <w:rPr>
          <w:spacing w:val="4"/>
        </w:rPr>
        <w:t>清单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机制，加强项目管理。明确项目验收主体、要件、验收</w:t>
      </w:r>
      <w:r>
        <w:rPr>
          <w:spacing w:val="6"/>
        </w:rPr>
        <w:t xml:space="preserve"> </w:t>
      </w:r>
      <w:r>
        <w:rPr>
          <w:spacing w:val="-1"/>
        </w:rPr>
        <w:t>流程等，加强资产监督管理，明确资产权属和管护主体责任，</w:t>
      </w:r>
      <w:r>
        <w:t xml:space="preserve"> </w:t>
      </w:r>
      <w:r>
        <w:rPr>
          <w:spacing w:val="3"/>
        </w:rPr>
        <w:t>形成长效机制。</w:t>
      </w:r>
    </w:p>
    <w:p w14:paraId="0D17DB21">
      <w:pPr>
        <w:pStyle w:val="2"/>
        <w:spacing w:before="232" w:line="288" w:lineRule="auto"/>
        <w:ind w:left="29" w:right="29" w:firstLine="593"/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二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日常监督机制。</w:t>
      </w:r>
      <w:r>
        <w:rPr>
          <w:spacing w:val="-9"/>
        </w:rPr>
        <w:t>提出日常监督机制，各旗县</w:t>
      </w:r>
      <w:r>
        <w:rPr>
          <w:spacing w:val="-10"/>
        </w:rPr>
        <w:t>（区）可引</w:t>
      </w:r>
      <w:r>
        <w:t xml:space="preserve"> </w:t>
      </w:r>
      <w:r>
        <w:rPr>
          <w:spacing w:val="-3"/>
        </w:rPr>
        <w:t>入审计、监理咨询等第三方机构，规范决策过程，加强资金和</w:t>
      </w:r>
    </w:p>
    <w:p w14:paraId="1CBF0D8D">
      <w:pPr>
        <w:spacing w:line="288" w:lineRule="auto"/>
        <w:sectPr>
          <w:headerReference r:id="rId15" w:type="default"/>
          <w:footerReference r:id="rId16" w:type="default"/>
          <w:pgSz w:w="11906" w:h="16838"/>
          <w:pgMar w:top="400" w:right="1756" w:bottom="1179" w:left="1785" w:header="0" w:footer="964" w:gutter="0"/>
          <w:cols w:space="720" w:num="1"/>
        </w:sectPr>
      </w:pPr>
    </w:p>
    <w:p w14:paraId="3F5BECA9">
      <w:pPr>
        <w:spacing w:line="284" w:lineRule="auto"/>
        <w:rPr>
          <w:rFonts w:ascii="Arial"/>
          <w:sz w:val="21"/>
        </w:rPr>
      </w:pPr>
    </w:p>
    <w:p w14:paraId="3F15D56A">
      <w:pPr>
        <w:spacing w:line="285" w:lineRule="auto"/>
        <w:rPr>
          <w:rFonts w:ascii="Arial"/>
          <w:sz w:val="21"/>
        </w:rPr>
      </w:pPr>
    </w:p>
    <w:p w14:paraId="2E6D9657">
      <w:pPr>
        <w:spacing w:line="285" w:lineRule="auto"/>
        <w:rPr>
          <w:rFonts w:ascii="Arial"/>
          <w:sz w:val="21"/>
        </w:rPr>
      </w:pPr>
    </w:p>
    <w:p w14:paraId="0FA05185">
      <w:pPr>
        <w:spacing w:line="285" w:lineRule="auto"/>
        <w:rPr>
          <w:rFonts w:ascii="Arial"/>
          <w:sz w:val="21"/>
        </w:rPr>
      </w:pPr>
    </w:p>
    <w:p w14:paraId="2E82A53B">
      <w:pPr>
        <w:pStyle w:val="2"/>
        <w:spacing w:before="100" w:line="357" w:lineRule="auto"/>
        <w:ind w:left="59" w:right="28" w:hanging="29"/>
      </w:pPr>
      <w:r>
        <w:rPr>
          <w:spacing w:val="-4"/>
        </w:rPr>
        <w:t>项目审核。进一步加强政务公开和信息报送的政策措施，政府</w:t>
      </w:r>
      <w:r>
        <w:rPr>
          <w:spacing w:val="13"/>
        </w:rPr>
        <w:t xml:space="preserve"> </w:t>
      </w:r>
      <w:r>
        <w:rPr>
          <w:spacing w:val="-7"/>
        </w:rPr>
        <w:t>网站设置公开专栏情况。</w:t>
      </w:r>
    </w:p>
    <w:p w14:paraId="30F4D691">
      <w:pPr>
        <w:pStyle w:val="2"/>
        <w:spacing w:before="5" w:line="355" w:lineRule="auto"/>
        <w:ind w:left="26" w:firstLine="595"/>
        <w:jc w:val="both"/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三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信息公开机制。</w:t>
      </w:r>
      <w:r>
        <w:rPr>
          <w:spacing w:val="-9"/>
        </w:rPr>
        <w:t>进一步加强政务公开和信息报送</w:t>
      </w:r>
      <w:r>
        <w:rPr>
          <w:spacing w:val="-10"/>
        </w:rPr>
        <w:t>的政策</w:t>
      </w:r>
      <w:r>
        <w:t xml:space="preserve"> </w:t>
      </w:r>
      <w:r>
        <w:rPr>
          <w:spacing w:val="-3"/>
        </w:rPr>
        <w:t>措施，县政府网站设置公开专栏情况。明确凡是接受中央财政</w:t>
      </w:r>
      <w:r>
        <w:rPr>
          <w:spacing w:val="18"/>
        </w:rPr>
        <w:t xml:space="preserve"> </w:t>
      </w:r>
      <w:r>
        <w:rPr>
          <w:spacing w:val="-3"/>
        </w:rPr>
        <w:t>奖补的地方和企业，须按要求填报项目相关信息数据，各级主</w:t>
      </w:r>
      <w:r>
        <w:rPr>
          <w:spacing w:val="18"/>
        </w:rPr>
        <w:t xml:space="preserve"> </w:t>
      </w:r>
      <w:r>
        <w:rPr>
          <w:spacing w:val="-6"/>
        </w:rPr>
        <w:t>管部门依法保护信息安全。</w:t>
      </w:r>
    </w:p>
    <w:p w14:paraId="58E303EB">
      <w:pPr>
        <w:spacing w:line="355" w:lineRule="auto"/>
        <w:sectPr>
          <w:footerReference r:id="rId17" w:type="default"/>
          <w:pgSz w:w="11906" w:h="16838"/>
          <w:pgMar w:top="400" w:right="1784" w:bottom="1179" w:left="1785" w:header="0" w:footer="964" w:gutter="0"/>
          <w:cols w:space="720" w:num="1"/>
        </w:sectPr>
      </w:pPr>
    </w:p>
    <w:p w14:paraId="5D4BE695">
      <w:pPr>
        <w:spacing w:line="266" w:lineRule="auto"/>
        <w:rPr>
          <w:rFonts w:ascii="Arial"/>
          <w:sz w:val="21"/>
        </w:rPr>
      </w:pPr>
    </w:p>
    <w:p w14:paraId="5278FC9D">
      <w:pPr>
        <w:spacing w:line="266" w:lineRule="auto"/>
        <w:rPr>
          <w:rFonts w:ascii="Arial"/>
          <w:sz w:val="21"/>
        </w:rPr>
      </w:pPr>
    </w:p>
    <w:p w14:paraId="51F05AED">
      <w:pPr>
        <w:spacing w:line="266" w:lineRule="auto"/>
        <w:rPr>
          <w:rFonts w:ascii="Arial"/>
          <w:sz w:val="21"/>
        </w:rPr>
      </w:pPr>
    </w:p>
    <w:p w14:paraId="1B8B3AD8">
      <w:pPr>
        <w:spacing w:line="266" w:lineRule="auto"/>
        <w:rPr>
          <w:rFonts w:ascii="Arial"/>
          <w:sz w:val="21"/>
        </w:rPr>
      </w:pPr>
    </w:p>
    <w:p w14:paraId="7A3FAE37">
      <w:pPr>
        <w:spacing w:before="100" w:line="421" w:lineRule="exact"/>
        <w:ind w:left="28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3</w:t>
      </w:r>
    </w:p>
    <w:p w14:paraId="034D2267">
      <w:pPr>
        <w:spacing w:before="296" w:line="213" w:lineRule="auto"/>
        <w:ind w:left="198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总体目标及年度分解任务</w:t>
      </w:r>
    </w:p>
    <w:p w14:paraId="313FF1E0">
      <w:pPr>
        <w:spacing w:line="143" w:lineRule="exact"/>
      </w:pPr>
    </w:p>
    <w:tbl>
      <w:tblPr>
        <w:tblStyle w:val="5"/>
        <w:tblW w:w="89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3849"/>
        <w:gridCol w:w="2121"/>
        <w:gridCol w:w="2111"/>
      </w:tblGrid>
      <w:tr w14:paraId="6D85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14" w:type="dxa"/>
            <w:vAlign w:val="top"/>
          </w:tcPr>
          <w:p w14:paraId="5B15114A">
            <w:pPr>
              <w:spacing w:line="246" w:lineRule="auto"/>
              <w:rPr>
                <w:rFonts w:ascii="Arial"/>
                <w:sz w:val="21"/>
              </w:rPr>
            </w:pPr>
          </w:p>
          <w:p w14:paraId="46FDDDA4">
            <w:pPr>
              <w:pStyle w:val="6"/>
              <w:spacing w:before="75" w:line="191" w:lineRule="auto"/>
              <w:ind w:left="22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指标</w:t>
            </w:r>
          </w:p>
          <w:p w14:paraId="60382FB5">
            <w:pPr>
              <w:pStyle w:val="6"/>
              <w:spacing w:line="220" w:lineRule="auto"/>
              <w:ind w:left="236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类型</w:t>
            </w:r>
          </w:p>
        </w:tc>
        <w:tc>
          <w:tcPr>
            <w:tcW w:w="3849" w:type="dxa"/>
            <w:vAlign w:val="top"/>
          </w:tcPr>
          <w:p w14:paraId="0A4F297B">
            <w:pPr>
              <w:spacing w:line="365" w:lineRule="auto"/>
              <w:rPr>
                <w:rFonts w:ascii="Arial"/>
                <w:sz w:val="21"/>
              </w:rPr>
            </w:pPr>
          </w:p>
          <w:p w14:paraId="7001DE64">
            <w:pPr>
              <w:pStyle w:val="6"/>
              <w:spacing w:before="74" w:line="224" w:lineRule="auto"/>
              <w:ind w:left="1295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年底数</w:t>
            </w:r>
          </w:p>
        </w:tc>
        <w:tc>
          <w:tcPr>
            <w:tcW w:w="2121" w:type="dxa"/>
            <w:vAlign w:val="top"/>
          </w:tcPr>
          <w:p w14:paraId="5574B26F">
            <w:pPr>
              <w:spacing w:line="365" w:lineRule="auto"/>
              <w:rPr>
                <w:rFonts w:ascii="Arial"/>
                <w:sz w:val="21"/>
              </w:rPr>
            </w:pPr>
          </w:p>
          <w:p w14:paraId="0DE33C4D">
            <w:pPr>
              <w:pStyle w:val="6"/>
              <w:spacing w:before="74" w:line="224" w:lineRule="auto"/>
              <w:ind w:left="674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年</w:t>
            </w:r>
          </w:p>
        </w:tc>
        <w:tc>
          <w:tcPr>
            <w:tcW w:w="2111" w:type="dxa"/>
            <w:vAlign w:val="top"/>
          </w:tcPr>
          <w:p w14:paraId="1BEA6076">
            <w:pPr>
              <w:spacing w:line="365" w:lineRule="auto"/>
              <w:rPr>
                <w:rFonts w:ascii="Arial"/>
                <w:sz w:val="21"/>
              </w:rPr>
            </w:pPr>
          </w:p>
          <w:p w14:paraId="416FD07C">
            <w:pPr>
              <w:pStyle w:val="6"/>
              <w:spacing w:before="74" w:line="224" w:lineRule="auto"/>
              <w:ind w:left="667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年</w:t>
            </w:r>
          </w:p>
        </w:tc>
      </w:tr>
      <w:tr w14:paraId="7E822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7B35628E">
            <w:pPr>
              <w:spacing w:line="270" w:lineRule="auto"/>
              <w:rPr>
                <w:rFonts w:ascii="Arial"/>
                <w:sz w:val="21"/>
              </w:rPr>
            </w:pPr>
          </w:p>
          <w:p w14:paraId="7D33278F">
            <w:pPr>
              <w:spacing w:line="270" w:lineRule="auto"/>
              <w:rPr>
                <w:rFonts w:ascii="Arial"/>
                <w:sz w:val="21"/>
              </w:rPr>
            </w:pPr>
          </w:p>
          <w:p w14:paraId="5BD313DB">
            <w:pPr>
              <w:spacing w:line="270" w:lineRule="auto"/>
              <w:rPr>
                <w:rFonts w:ascii="Arial"/>
                <w:sz w:val="21"/>
              </w:rPr>
            </w:pPr>
          </w:p>
          <w:p w14:paraId="043D35F2">
            <w:pPr>
              <w:spacing w:line="270" w:lineRule="auto"/>
              <w:rPr>
                <w:rFonts w:ascii="Arial"/>
                <w:sz w:val="21"/>
              </w:rPr>
            </w:pPr>
          </w:p>
          <w:p w14:paraId="776A9D11">
            <w:pPr>
              <w:spacing w:line="271" w:lineRule="auto"/>
              <w:rPr>
                <w:rFonts w:ascii="Arial"/>
                <w:sz w:val="21"/>
              </w:rPr>
            </w:pPr>
          </w:p>
          <w:p w14:paraId="0DEF9764">
            <w:pPr>
              <w:pStyle w:val="6"/>
              <w:spacing w:before="71" w:line="262" w:lineRule="auto"/>
              <w:ind w:left="350" w:right="124" w:hanging="206"/>
            </w:pPr>
            <w:r>
              <w:rPr>
                <w:spacing w:val="-7"/>
              </w:rPr>
              <w:t>约束指</w:t>
            </w:r>
            <w:r>
              <w:t xml:space="preserve"> 标</w:t>
            </w:r>
          </w:p>
        </w:tc>
        <w:tc>
          <w:tcPr>
            <w:tcW w:w="3849" w:type="dxa"/>
            <w:vAlign w:val="top"/>
          </w:tcPr>
          <w:p w14:paraId="08E9502D">
            <w:pPr>
              <w:pStyle w:val="6"/>
              <w:spacing w:before="170" w:line="214" w:lineRule="auto"/>
              <w:ind w:left="171"/>
            </w:pPr>
            <w:r>
              <w:rPr>
                <w:spacing w:val="-1"/>
              </w:rPr>
              <w:t>县域综合商贸服务中心数量、覆盖率</w:t>
            </w:r>
          </w:p>
        </w:tc>
        <w:tc>
          <w:tcPr>
            <w:tcW w:w="2121" w:type="dxa"/>
            <w:vAlign w:val="top"/>
          </w:tcPr>
          <w:p w14:paraId="50CBE27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3570AF4C">
            <w:pPr>
              <w:rPr>
                <w:rFonts w:ascii="Arial"/>
                <w:sz w:val="21"/>
              </w:rPr>
            </w:pPr>
          </w:p>
        </w:tc>
      </w:tr>
      <w:tr w14:paraId="3D735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9D0C6A1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488F65E0">
            <w:pPr>
              <w:pStyle w:val="6"/>
              <w:spacing w:before="169" w:line="214" w:lineRule="auto"/>
              <w:ind w:left="392"/>
            </w:pPr>
            <w:r>
              <w:rPr>
                <w:spacing w:val="-1"/>
              </w:rPr>
              <w:t>县级物流配送中心数量、覆盖率</w:t>
            </w:r>
          </w:p>
        </w:tc>
        <w:tc>
          <w:tcPr>
            <w:tcW w:w="2121" w:type="dxa"/>
            <w:vAlign w:val="top"/>
          </w:tcPr>
          <w:p w14:paraId="14A49CBD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C6FA20F">
            <w:pPr>
              <w:rPr>
                <w:rFonts w:ascii="Arial"/>
                <w:sz w:val="21"/>
              </w:rPr>
            </w:pPr>
          </w:p>
        </w:tc>
      </w:tr>
      <w:tr w14:paraId="49E33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0A1B213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6E4CB660">
            <w:pPr>
              <w:pStyle w:val="6"/>
              <w:spacing w:before="170" w:line="214" w:lineRule="auto"/>
              <w:ind w:left="420"/>
            </w:pPr>
            <w:r>
              <w:rPr>
                <w:spacing w:val="-3"/>
              </w:rPr>
              <w:t>乡镇商贸中心数量、服务覆盖率</w:t>
            </w:r>
          </w:p>
        </w:tc>
        <w:tc>
          <w:tcPr>
            <w:tcW w:w="2121" w:type="dxa"/>
            <w:vAlign w:val="top"/>
          </w:tcPr>
          <w:p w14:paraId="24511E7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85B7E8E">
            <w:pPr>
              <w:rPr>
                <w:rFonts w:ascii="Arial"/>
                <w:sz w:val="21"/>
              </w:rPr>
            </w:pPr>
          </w:p>
        </w:tc>
      </w:tr>
      <w:tr w14:paraId="625F7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9C699AD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03995E62">
            <w:pPr>
              <w:pStyle w:val="6"/>
              <w:spacing w:before="169" w:line="214" w:lineRule="auto"/>
              <w:ind w:left="610"/>
            </w:pPr>
            <w:r>
              <w:rPr>
                <w:spacing w:val="-1"/>
              </w:rPr>
              <w:t>村级便民商店数量、覆盖率</w:t>
            </w:r>
          </w:p>
        </w:tc>
        <w:tc>
          <w:tcPr>
            <w:tcW w:w="2121" w:type="dxa"/>
            <w:vAlign w:val="top"/>
          </w:tcPr>
          <w:p w14:paraId="087E667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8ABEACE">
            <w:pPr>
              <w:rPr>
                <w:rFonts w:ascii="Arial"/>
                <w:sz w:val="21"/>
              </w:rPr>
            </w:pPr>
          </w:p>
        </w:tc>
      </w:tr>
      <w:tr w14:paraId="797D5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BBEF836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43BC3D9C">
            <w:pPr>
              <w:pStyle w:val="6"/>
              <w:spacing w:before="171" w:line="214" w:lineRule="auto"/>
              <w:ind w:left="682"/>
            </w:pPr>
            <w:r>
              <w:rPr>
                <w:rFonts w:ascii="Times New Roman" w:hAnsi="Times New Roman" w:eastAsia="Times New Roman" w:cs="Times New Roman"/>
                <w:spacing w:val="3"/>
              </w:rPr>
              <w:t>“</w:t>
            </w:r>
            <w:r>
              <w:rPr>
                <w:spacing w:val="3"/>
              </w:rPr>
              <w:t>快递进村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”</w:t>
            </w:r>
            <w:r>
              <w:rPr>
                <w:spacing w:val="3"/>
              </w:rPr>
              <w:t>数量、覆盖率</w:t>
            </w:r>
          </w:p>
        </w:tc>
        <w:tc>
          <w:tcPr>
            <w:tcW w:w="2121" w:type="dxa"/>
            <w:vAlign w:val="top"/>
          </w:tcPr>
          <w:p w14:paraId="1FEC8CE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CD966F8">
            <w:pPr>
              <w:rPr>
                <w:rFonts w:ascii="Arial"/>
                <w:sz w:val="21"/>
              </w:rPr>
            </w:pPr>
          </w:p>
        </w:tc>
      </w:tr>
      <w:tr w14:paraId="47CC2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11E1F852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4187456C">
            <w:pPr>
              <w:pStyle w:val="6"/>
              <w:spacing w:before="170" w:line="214" w:lineRule="auto"/>
              <w:ind w:left="941"/>
            </w:pPr>
            <w:r>
              <w:rPr>
                <w:spacing w:val="-1"/>
              </w:rPr>
              <w:t>县域物流共同配送率</w:t>
            </w:r>
          </w:p>
        </w:tc>
        <w:tc>
          <w:tcPr>
            <w:tcW w:w="2121" w:type="dxa"/>
            <w:vAlign w:val="top"/>
          </w:tcPr>
          <w:p w14:paraId="31629F5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F599618">
            <w:pPr>
              <w:rPr>
                <w:rFonts w:ascii="Arial"/>
                <w:sz w:val="21"/>
              </w:rPr>
            </w:pPr>
          </w:p>
        </w:tc>
      </w:tr>
      <w:tr w14:paraId="467F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37129404">
            <w:pPr>
              <w:spacing w:line="263" w:lineRule="auto"/>
              <w:rPr>
                <w:rFonts w:ascii="Arial"/>
                <w:sz w:val="21"/>
              </w:rPr>
            </w:pPr>
          </w:p>
          <w:p w14:paraId="74B610B0">
            <w:pPr>
              <w:spacing w:line="264" w:lineRule="auto"/>
              <w:rPr>
                <w:rFonts w:ascii="Arial"/>
                <w:sz w:val="21"/>
              </w:rPr>
            </w:pPr>
          </w:p>
          <w:p w14:paraId="0A00E694">
            <w:pPr>
              <w:spacing w:line="264" w:lineRule="auto"/>
              <w:rPr>
                <w:rFonts w:ascii="Arial"/>
                <w:sz w:val="21"/>
              </w:rPr>
            </w:pPr>
          </w:p>
          <w:p w14:paraId="2E3F4A21">
            <w:pPr>
              <w:pStyle w:val="6"/>
              <w:spacing w:before="71" w:line="262" w:lineRule="auto"/>
              <w:ind w:left="351" w:right="124" w:hanging="179"/>
            </w:pPr>
            <w:r>
              <w:rPr>
                <w:spacing w:val="-16"/>
              </w:rPr>
              <w:t>自选指</w:t>
            </w:r>
            <w:r>
              <w:t xml:space="preserve"> 标</w:t>
            </w:r>
          </w:p>
        </w:tc>
        <w:tc>
          <w:tcPr>
            <w:tcW w:w="3849" w:type="dxa"/>
            <w:vAlign w:val="top"/>
          </w:tcPr>
          <w:p w14:paraId="212F0D2A">
            <w:pPr>
              <w:pStyle w:val="6"/>
              <w:spacing w:before="171" w:line="214" w:lineRule="auto"/>
              <w:ind w:left="281"/>
            </w:pPr>
            <w:r>
              <w:rPr>
                <w:spacing w:val="-1"/>
              </w:rPr>
              <w:t>培育龙头流通企业数量、覆盖县数</w:t>
            </w:r>
          </w:p>
        </w:tc>
        <w:tc>
          <w:tcPr>
            <w:tcW w:w="2121" w:type="dxa"/>
            <w:vAlign w:val="top"/>
          </w:tcPr>
          <w:p w14:paraId="0705223E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50B5257">
            <w:pPr>
              <w:rPr>
                <w:rFonts w:ascii="Arial"/>
                <w:sz w:val="21"/>
              </w:rPr>
            </w:pPr>
          </w:p>
        </w:tc>
      </w:tr>
      <w:tr w14:paraId="74557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F9A09F8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750B380C">
            <w:pPr>
              <w:pStyle w:val="6"/>
              <w:spacing w:before="170" w:line="214" w:lineRule="auto"/>
              <w:ind w:left="392"/>
            </w:pPr>
            <w:r>
              <w:rPr>
                <w:spacing w:val="-1"/>
              </w:rPr>
              <w:t>县域社会消费品零售额、年增速</w:t>
            </w:r>
          </w:p>
        </w:tc>
        <w:tc>
          <w:tcPr>
            <w:tcW w:w="2121" w:type="dxa"/>
            <w:vAlign w:val="top"/>
          </w:tcPr>
          <w:p w14:paraId="1C0EACF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3C8E8B3">
            <w:pPr>
              <w:rPr>
                <w:rFonts w:ascii="Arial"/>
                <w:sz w:val="21"/>
              </w:rPr>
            </w:pPr>
          </w:p>
        </w:tc>
      </w:tr>
      <w:tr w14:paraId="5B905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118AEA6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6A0283A6">
            <w:pPr>
              <w:pStyle w:val="6"/>
              <w:spacing w:before="173" w:line="214" w:lineRule="auto"/>
              <w:ind w:left="310"/>
            </w:pPr>
            <w:r>
              <w:rPr>
                <w:spacing w:val="-3"/>
              </w:rPr>
              <w:t>乡镇集贸市场建设改造数量、占比</w:t>
            </w:r>
          </w:p>
        </w:tc>
        <w:tc>
          <w:tcPr>
            <w:tcW w:w="2121" w:type="dxa"/>
            <w:vAlign w:val="top"/>
          </w:tcPr>
          <w:p w14:paraId="3E9A2B2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5DCCFAD">
            <w:pPr>
              <w:rPr>
                <w:rFonts w:ascii="Arial"/>
                <w:sz w:val="21"/>
              </w:rPr>
            </w:pPr>
          </w:p>
        </w:tc>
      </w:tr>
      <w:tr w14:paraId="330ED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7F3F1BF4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0613B9FC">
            <w:pPr>
              <w:spacing w:line="272" w:lineRule="auto"/>
              <w:rPr>
                <w:rFonts w:ascii="Arial"/>
                <w:sz w:val="21"/>
              </w:rPr>
            </w:pPr>
          </w:p>
          <w:p w14:paraId="6F35025B">
            <w:pPr>
              <w:spacing w:before="63" w:line="69" w:lineRule="exact"/>
              <w:ind w:left="17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......</w:t>
            </w:r>
          </w:p>
        </w:tc>
        <w:tc>
          <w:tcPr>
            <w:tcW w:w="2121" w:type="dxa"/>
            <w:vAlign w:val="top"/>
          </w:tcPr>
          <w:p w14:paraId="56D7544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28FBCB1">
            <w:pPr>
              <w:rPr>
                <w:rFonts w:ascii="Arial"/>
                <w:sz w:val="21"/>
              </w:rPr>
            </w:pPr>
          </w:p>
        </w:tc>
      </w:tr>
      <w:tr w14:paraId="08F7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6913C437">
            <w:pPr>
              <w:spacing w:line="253" w:lineRule="auto"/>
              <w:rPr>
                <w:rFonts w:ascii="Arial"/>
                <w:sz w:val="21"/>
              </w:rPr>
            </w:pPr>
          </w:p>
          <w:p w14:paraId="4053AEA7">
            <w:pPr>
              <w:spacing w:line="254" w:lineRule="auto"/>
              <w:rPr>
                <w:rFonts w:ascii="Arial"/>
                <w:sz w:val="21"/>
              </w:rPr>
            </w:pPr>
          </w:p>
          <w:p w14:paraId="1A2C9674">
            <w:pPr>
              <w:pStyle w:val="6"/>
              <w:spacing w:before="72" w:line="214" w:lineRule="auto"/>
              <w:ind w:left="130"/>
            </w:pPr>
            <w:r>
              <w:rPr>
                <w:spacing w:val="-2"/>
              </w:rPr>
              <w:t>建设类</w:t>
            </w:r>
          </w:p>
          <w:p w14:paraId="48FD696A">
            <w:pPr>
              <w:pStyle w:val="6"/>
              <w:spacing w:before="57" w:line="219" w:lineRule="auto"/>
              <w:ind w:left="362"/>
            </w:pPr>
            <w:r>
              <w:t>型</w:t>
            </w:r>
          </w:p>
        </w:tc>
        <w:tc>
          <w:tcPr>
            <w:tcW w:w="3849" w:type="dxa"/>
            <w:vAlign w:val="top"/>
          </w:tcPr>
          <w:p w14:paraId="674B010A">
            <w:pPr>
              <w:pStyle w:val="6"/>
              <w:spacing w:before="171" w:line="217" w:lineRule="auto"/>
              <w:ind w:left="107"/>
            </w:pPr>
            <w:r>
              <w:rPr>
                <w:spacing w:val="-3"/>
              </w:rPr>
              <w:t>基本型县名、数量、占比</w:t>
            </w:r>
          </w:p>
        </w:tc>
        <w:tc>
          <w:tcPr>
            <w:tcW w:w="4232" w:type="dxa"/>
            <w:gridSpan w:val="2"/>
            <w:vAlign w:val="top"/>
          </w:tcPr>
          <w:p w14:paraId="0CB25D13">
            <w:pPr>
              <w:pStyle w:val="6"/>
              <w:spacing w:before="171" w:line="21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2022 </w:t>
            </w:r>
            <w:r>
              <w:rPr>
                <w:spacing w:val="-2"/>
              </w:rPr>
              <w:t xml:space="preserve">年底数：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年目</w:t>
            </w:r>
            <w:r>
              <w:rPr>
                <w:spacing w:val="-3"/>
              </w:rPr>
              <w:t>标：</w:t>
            </w:r>
          </w:p>
        </w:tc>
      </w:tr>
      <w:tr w14:paraId="4E5EC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3881485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6BA0B699">
            <w:pPr>
              <w:pStyle w:val="6"/>
              <w:spacing w:before="172" w:line="214" w:lineRule="auto"/>
              <w:ind w:left="108"/>
            </w:pPr>
            <w:r>
              <w:rPr>
                <w:spacing w:val="-3"/>
              </w:rPr>
              <w:t>增强型县名、数量、占比</w:t>
            </w:r>
          </w:p>
        </w:tc>
        <w:tc>
          <w:tcPr>
            <w:tcW w:w="4232" w:type="dxa"/>
            <w:gridSpan w:val="2"/>
            <w:vAlign w:val="top"/>
          </w:tcPr>
          <w:p w14:paraId="43DCD0ED">
            <w:pPr>
              <w:pStyle w:val="6"/>
              <w:spacing w:before="171" w:line="21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2022 </w:t>
            </w:r>
            <w:r>
              <w:rPr>
                <w:spacing w:val="-2"/>
              </w:rPr>
              <w:t xml:space="preserve">年底数：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年目</w:t>
            </w:r>
            <w:r>
              <w:rPr>
                <w:spacing w:val="-3"/>
              </w:rPr>
              <w:t>标：</w:t>
            </w:r>
          </w:p>
        </w:tc>
      </w:tr>
      <w:tr w14:paraId="5AECE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1520801B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38397A4A">
            <w:pPr>
              <w:pStyle w:val="6"/>
              <w:spacing w:before="173" w:line="217" w:lineRule="auto"/>
              <w:ind w:left="109"/>
            </w:pPr>
            <w:r>
              <w:rPr>
                <w:spacing w:val="-3"/>
              </w:rPr>
              <w:t>提升型县名、数量、占比</w:t>
            </w:r>
          </w:p>
        </w:tc>
        <w:tc>
          <w:tcPr>
            <w:tcW w:w="4232" w:type="dxa"/>
            <w:gridSpan w:val="2"/>
            <w:vAlign w:val="top"/>
          </w:tcPr>
          <w:p w14:paraId="7BA1C06E">
            <w:pPr>
              <w:pStyle w:val="6"/>
              <w:spacing w:before="173" w:line="21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2022 </w:t>
            </w:r>
            <w:r>
              <w:rPr>
                <w:spacing w:val="-2"/>
              </w:rPr>
              <w:t xml:space="preserve">年底数：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年目</w:t>
            </w:r>
            <w:r>
              <w:rPr>
                <w:spacing w:val="-3"/>
              </w:rPr>
              <w:t>标：</w:t>
            </w:r>
          </w:p>
        </w:tc>
      </w:tr>
    </w:tbl>
    <w:p w14:paraId="5B52968A">
      <w:pPr>
        <w:pStyle w:val="2"/>
        <w:spacing w:before="79" w:line="289" w:lineRule="auto"/>
        <w:ind w:left="257" w:right="447" w:firstLine="6"/>
        <w:rPr>
          <w:sz w:val="23"/>
          <w:szCs w:val="23"/>
        </w:rPr>
      </w:pPr>
      <w:r>
        <w:rPr>
          <w:spacing w:val="10"/>
          <w:sz w:val="23"/>
          <w:szCs w:val="23"/>
        </w:rPr>
        <w:t>注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1.</w:t>
      </w:r>
      <w:r>
        <w:rPr>
          <w:spacing w:val="10"/>
          <w:sz w:val="23"/>
          <w:szCs w:val="23"/>
        </w:rPr>
        <w:t>县城综合商贸服务中心、村级便民商店不列入中央财政支持方向，通过市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场化手段推进建设改造。</w:t>
      </w:r>
    </w:p>
    <w:p w14:paraId="752B0631">
      <w:pPr>
        <w:pStyle w:val="2"/>
        <w:spacing w:before="1" w:line="256" w:lineRule="auto"/>
        <w:ind w:left="258" w:right="445" w:firstLine="475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2.</w:t>
      </w:r>
      <w:r>
        <w:rPr>
          <w:spacing w:val="8"/>
          <w:sz w:val="23"/>
          <w:szCs w:val="23"/>
        </w:rPr>
        <w:t>约束指标为《县域商业建设指南》所涉及的约束性指标，除人口稀少、欠</w:t>
      </w:r>
      <w:r>
        <w:rPr>
          <w:spacing w:val="1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发达县域，在具备的地区实现县乡村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“</w:t>
      </w:r>
      <w:r>
        <w:rPr>
          <w:spacing w:val="8"/>
          <w:sz w:val="23"/>
          <w:szCs w:val="23"/>
        </w:rPr>
        <w:t>三个全覆盖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”</w:t>
      </w:r>
      <w:r>
        <w:rPr>
          <w:spacing w:val="8"/>
          <w:sz w:val="23"/>
          <w:szCs w:val="23"/>
        </w:rPr>
        <w:t>。</w:t>
      </w:r>
    </w:p>
    <w:p w14:paraId="5A1B73F3">
      <w:pPr>
        <w:pStyle w:val="2"/>
        <w:spacing w:before="83" w:line="272" w:lineRule="auto"/>
        <w:ind w:left="254" w:right="381" w:firstLine="484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3.</w:t>
      </w:r>
      <w:r>
        <w:rPr>
          <w:spacing w:val="8"/>
          <w:sz w:val="23"/>
          <w:szCs w:val="23"/>
        </w:rPr>
        <w:t>建设类型由省级主管部门参照《县域商业建设指南》，结合摸底情况，对</w:t>
      </w:r>
      <w:r>
        <w:rPr>
          <w:spacing w:val="10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下辖县整县商业现状进行分类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(</w:t>
      </w:r>
      <w:r>
        <w:rPr>
          <w:spacing w:val="8"/>
          <w:sz w:val="23"/>
          <w:szCs w:val="23"/>
        </w:rPr>
        <w:t>基本型、增强型、提升型以及未达基本型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)</w:t>
      </w:r>
      <w:r>
        <w:rPr>
          <w:rFonts w:ascii="Times New Roman" w:hAnsi="Times New Roman" w:eastAsia="Times New Roman" w:cs="Times New Roman"/>
          <w:spacing w:val="-19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。在此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 xml:space="preserve">基础上，指导各县因地制宜、自主选择到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2025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年的目标类型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(</w:t>
      </w:r>
      <w:r>
        <w:rPr>
          <w:spacing w:val="7"/>
          <w:sz w:val="23"/>
          <w:szCs w:val="23"/>
        </w:rPr>
        <w:t>基本型、增强型、</w:t>
      </w:r>
      <w:r>
        <w:rPr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提升型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)</w:t>
      </w:r>
      <w:r>
        <w:rPr>
          <w:spacing w:val="5"/>
          <w:sz w:val="23"/>
          <w:szCs w:val="23"/>
        </w:rPr>
        <w:t>。</w:t>
      </w:r>
    </w:p>
    <w:p w14:paraId="2D832117">
      <w:pPr>
        <w:spacing w:line="272" w:lineRule="auto"/>
        <w:rPr>
          <w:sz w:val="23"/>
          <w:szCs w:val="23"/>
        </w:rPr>
        <w:sectPr>
          <w:footerReference r:id="rId18" w:type="default"/>
          <w:pgSz w:w="11906" w:h="16838"/>
          <w:pgMar w:top="400" w:right="1353" w:bottom="1179" w:left="1551" w:header="0" w:footer="964" w:gutter="0"/>
          <w:cols w:space="720" w:num="1"/>
        </w:sectPr>
      </w:pPr>
    </w:p>
    <w:p w14:paraId="5974B2E4">
      <w:pPr>
        <w:spacing w:line="256" w:lineRule="auto"/>
        <w:rPr>
          <w:rFonts w:ascii="Arial"/>
          <w:sz w:val="21"/>
        </w:rPr>
      </w:pPr>
    </w:p>
    <w:p w14:paraId="091BB452">
      <w:pPr>
        <w:spacing w:line="256" w:lineRule="auto"/>
        <w:rPr>
          <w:rFonts w:ascii="Arial"/>
          <w:sz w:val="21"/>
        </w:rPr>
      </w:pPr>
    </w:p>
    <w:p w14:paraId="6D2CD09A">
      <w:pPr>
        <w:spacing w:line="256" w:lineRule="auto"/>
        <w:rPr>
          <w:rFonts w:ascii="Arial"/>
          <w:sz w:val="21"/>
        </w:rPr>
      </w:pPr>
    </w:p>
    <w:p w14:paraId="78DBD286">
      <w:pPr>
        <w:spacing w:before="100" w:line="421" w:lineRule="exact"/>
        <w:ind w:left="24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4</w:t>
      </w:r>
    </w:p>
    <w:p w14:paraId="045C239E">
      <w:pPr>
        <w:spacing w:before="316" w:line="214" w:lineRule="auto"/>
        <w:ind w:left="21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年度县域商业体系建设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试点县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计划支持项目清单</w:t>
      </w:r>
    </w:p>
    <w:p w14:paraId="29C53A30">
      <w:pPr>
        <w:spacing w:line="247" w:lineRule="auto"/>
        <w:rPr>
          <w:rFonts w:ascii="Arial"/>
          <w:sz w:val="21"/>
        </w:rPr>
      </w:pPr>
    </w:p>
    <w:p w14:paraId="57F4CD2A">
      <w:pPr>
        <w:pStyle w:val="2"/>
        <w:spacing w:before="91" w:line="214" w:lineRule="auto"/>
        <w:ind w:left="378"/>
        <w:rPr>
          <w:sz w:val="28"/>
          <w:szCs w:val="28"/>
        </w:rPr>
      </w:pPr>
      <w:r>
        <w:rPr>
          <w:spacing w:val="-5"/>
          <w:sz w:val="28"/>
          <w:szCs w:val="28"/>
        </w:rPr>
        <w:t>盟市商务部门（盖章</w:t>
      </w:r>
      <w:r>
        <w:rPr>
          <w:spacing w:val="-12"/>
          <w:sz w:val="28"/>
          <w:szCs w:val="28"/>
        </w:rPr>
        <w:t>）：</w:t>
      </w:r>
    </w:p>
    <w:p w14:paraId="0412234D">
      <w:pPr>
        <w:spacing w:before="214"/>
      </w:pPr>
    </w:p>
    <w:tbl>
      <w:tblPr>
        <w:tblStyle w:val="5"/>
        <w:tblW w:w="15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858"/>
        <w:gridCol w:w="857"/>
        <w:gridCol w:w="1000"/>
        <w:gridCol w:w="650"/>
        <w:gridCol w:w="684"/>
        <w:gridCol w:w="716"/>
        <w:gridCol w:w="699"/>
        <w:gridCol w:w="616"/>
        <w:gridCol w:w="769"/>
        <w:gridCol w:w="684"/>
        <w:gridCol w:w="596"/>
        <w:gridCol w:w="601"/>
        <w:gridCol w:w="824"/>
        <w:gridCol w:w="780"/>
        <w:gridCol w:w="765"/>
        <w:gridCol w:w="600"/>
        <w:gridCol w:w="899"/>
        <w:gridCol w:w="1050"/>
        <w:gridCol w:w="943"/>
      </w:tblGrid>
      <w:tr w14:paraId="66325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633" w:type="dxa"/>
            <w:vAlign w:val="top"/>
          </w:tcPr>
          <w:p w14:paraId="32823D5A">
            <w:pPr>
              <w:spacing w:line="293" w:lineRule="auto"/>
              <w:rPr>
                <w:rFonts w:ascii="Arial"/>
                <w:sz w:val="21"/>
              </w:rPr>
            </w:pPr>
          </w:p>
          <w:p w14:paraId="5599F944">
            <w:pPr>
              <w:spacing w:line="293" w:lineRule="auto"/>
              <w:rPr>
                <w:rFonts w:ascii="Arial"/>
                <w:sz w:val="21"/>
              </w:rPr>
            </w:pPr>
          </w:p>
          <w:p w14:paraId="5A3059B5">
            <w:pPr>
              <w:spacing w:line="294" w:lineRule="auto"/>
              <w:rPr>
                <w:rFonts w:ascii="Arial"/>
                <w:sz w:val="21"/>
              </w:rPr>
            </w:pPr>
          </w:p>
          <w:p w14:paraId="53C852D5">
            <w:pPr>
              <w:spacing w:line="294" w:lineRule="auto"/>
              <w:rPr>
                <w:rFonts w:ascii="Arial"/>
                <w:sz w:val="21"/>
              </w:rPr>
            </w:pPr>
          </w:p>
          <w:p w14:paraId="1761CD7B">
            <w:pPr>
              <w:spacing w:before="55" w:line="234" w:lineRule="auto"/>
              <w:ind w:left="13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858" w:type="dxa"/>
            <w:vAlign w:val="top"/>
          </w:tcPr>
          <w:p w14:paraId="509EB107">
            <w:pPr>
              <w:spacing w:line="293" w:lineRule="auto"/>
              <w:rPr>
                <w:rFonts w:ascii="Arial"/>
                <w:sz w:val="21"/>
              </w:rPr>
            </w:pPr>
          </w:p>
          <w:p w14:paraId="14F8CC1D">
            <w:pPr>
              <w:spacing w:line="293" w:lineRule="auto"/>
              <w:rPr>
                <w:rFonts w:ascii="Arial"/>
                <w:sz w:val="21"/>
              </w:rPr>
            </w:pPr>
          </w:p>
          <w:p w14:paraId="49A76482">
            <w:pPr>
              <w:spacing w:line="294" w:lineRule="auto"/>
              <w:rPr>
                <w:rFonts w:ascii="Arial"/>
                <w:sz w:val="21"/>
              </w:rPr>
            </w:pPr>
          </w:p>
          <w:p w14:paraId="1CB38367">
            <w:pPr>
              <w:spacing w:line="294" w:lineRule="auto"/>
              <w:rPr>
                <w:rFonts w:ascii="Arial"/>
                <w:sz w:val="21"/>
              </w:rPr>
            </w:pPr>
          </w:p>
          <w:p w14:paraId="22FC9E06">
            <w:pPr>
              <w:spacing w:before="55" w:line="235" w:lineRule="auto"/>
              <w:ind w:left="25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盟市</w:t>
            </w:r>
          </w:p>
        </w:tc>
        <w:tc>
          <w:tcPr>
            <w:tcW w:w="857" w:type="dxa"/>
            <w:vAlign w:val="top"/>
          </w:tcPr>
          <w:p w14:paraId="4DB15A3B">
            <w:pPr>
              <w:spacing w:line="293" w:lineRule="auto"/>
              <w:rPr>
                <w:rFonts w:ascii="Arial"/>
                <w:sz w:val="21"/>
              </w:rPr>
            </w:pPr>
          </w:p>
          <w:p w14:paraId="40C2024B">
            <w:pPr>
              <w:spacing w:line="293" w:lineRule="auto"/>
              <w:rPr>
                <w:rFonts w:ascii="Arial"/>
                <w:sz w:val="21"/>
              </w:rPr>
            </w:pPr>
          </w:p>
          <w:p w14:paraId="3163F1A0">
            <w:pPr>
              <w:spacing w:line="294" w:lineRule="auto"/>
              <w:rPr>
                <w:rFonts w:ascii="Arial"/>
                <w:sz w:val="21"/>
              </w:rPr>
            </w:pPr>
          </w:p>
          <w:p w14:paraId="11F24C9C">
            <w:pPr>
              <w:spacing w:line="294" w:lineRule="auto"/>
              <w:rPr>
                <w:rFonts w:ascii="Arial"/>
                <w:sz w:val="21"/>
              </w:rPr>
            </w:pPr>
          </w:p>
          <w:p w14:paraId="428D932C">
            <w:pPr>
              <w:spacing w:before="55" w:line="233" w:lineRule="auto"/>
              <w:ind w:left="15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旗县区</w:t>
            </w:r>
          </w:p>
        </w:tc>
        <w:tc>
          <w:tcPr>
            <w:tcW w:w="1000" w:type="dxa"/>
            <w:vAlign w:val="top"/>
          </w:tcPr>
          <w:p w14:paraId="46FF44FF">
            <w:pPr>
              <w:spacing w:line="255" w:lineRule="auto"/>
              <w:rPr>
                <w:rFonts w:ascii="Arial"/>
                <w:sz w:val="21"/>
              </w:rPr>
            </w:pPr>
          </w:p>
          <w:p w14:paraId="47D72553">
            <w:pPr>
              <w:spacing w:line="256" w:lineRule="auto"/>
              <w:rPr>
                <w:rFonts w:ascii="Arial"/>
                <w:sz w:val="21"/>
              </w:rPr>
            </w:pPr>
          </w:p>
          <w:p w14:paraId="59885F2A">
            <w:pPr>
              <w:spacing w:line="256" w:lineRule="auto"/>
              <w:rPr>
                <w:rFonts w:ascii="Arial"/>
                <w:sz w:val="21"/>
              </w:rPr>
            </w:pPr>
          </w:p>
          <w:p w14:paraId="5AE9F8C4">
            <w:pPr>
              <w:spacing w:line="256" w:lineRule="auto"/>
              <w:rPr>
                <w:rFonts w:ascii="Arial"/>
                <w:sz w:val="21"/>
              </w:rPr>
            </w:pPr>
          </w:p>
          <w:p w14:paraId="37C98061">
            <w:pPr>
              <w:spacing w:before="56" w:line="233" w:lineRule="auto"/>
              <w:ind w:left="14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支持项目</w:t>
            </w:r>
          </w:p>
          <w:p w14:paraId="4D684D8A">
            <w:pPr>
              <w:spacing w:before="85" w:line="233" w:lineRule="auto"/>
              <w:ind w:left="3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全称</w:t>
            </w:r>
          </w:p>
        </w:tc>
        <w:tc>
          <w:tcPr>
            <w:tcW w:w="650" w:type="dxa"/>
            <w:vAlign w:val="top"/>
          </w:tcPr>
          <w:p w14:paraId="77427A79">
            <w:pPr>
              <w:spacing w:line="256" w:lineRule="auto"/>
              <w:rPr>
                <w:rFonts w:ascii="Arial"/>
                <w:sz w:val="21"/>
              </w:rPr>
            </w:pPr>
          </w:p>
          <w:p w14:paraId="1113C273">
            <w:pPr>
              <w:spacing w:line="256" w:lineRule="auto"/>
              <w:rPr>
                <w:rFonts w:ascii="Arial"/>
                <w:sz w:val="21"/>
              </w:rPr>
            </w:pPr>
          </w:p>
          <w:p w14:paraId="36ADC9A6">
            <w:pPr>
              <w:spacing w:line="256" w:lineRule="auto"/>
              <w:rPr>
                <w:rFonts w:ascii="Arial"/>
                <w:sz w:val="21"/>
              </w:rPr>
            </w:pPr>
          </w:p>
          <w:p w14:paraId="7178E95C">
            <w:pPr>
              <w:spacing w:line="256" w:lineRule="auto"/>
              <w:rPr>
                <w:rFonts w:ascii="Arial"/>
                <w:sz w:val="21"/>
              </w:rPr>
            </w:pPr>
          </w:p>
          <w:p w14:paraId="6A8EB0E9">
            <w:pPr>
              <w:spacing w:before="55" w:line="233" w:lineRule="auto"/>
              <w:ind w:left="1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支持</w:t>
            </w:r>
          </w:p>
          <w:p w14:paraId="2FBF1EAE">
            <w:pPr>
              <w:spacing w:before="85" w:line="232" w:lineRule="auto"/>
              <w:ind w:left="15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方向</w:t>
            </w:r>
          </w:p>
        </w:tc>
        <w:tc>
          <w:tcPr>
            <w:tcW w:w="684" w:type="dxa"/>
            <w:vAlign w:val="top"/>
          </w:tcPr>
          <w:p w14:paraId="25D61563">
            <w:pPr>
              <w:spacing w:line="255" w:lineRule="auto"/>
              <w:rPr>
                <w:rFonts w:ascii="Arial"/>
                <w:sz w:val="21"/>
              </w:rPr>
            </w:pPr>
          </w:p>
          <w:p w14:paraId="70B91188">
            <w:pPr>
              <w:spacing w:line="256" w:lineRule="auto"/>
              <w:rPr>
                <w:rFonts w:ascii="Arial"/>
                <w:sz w:val="21"/>
              </w:rPr>
            </w:pPr>
          </w:p>
          <w:p w14:paraId="1532FB12">
            <w:pPr>
              <w:spacing w:line="256" w:lineRule="auto"/>
              <w:rPr>
                <w:rFonts w:ascii="Arial"/>
                <w:sz w:val="21"/>
              </w:rPr>
            </w:pPr>
          </w:p>
          <w:p w14:paraId="59008DEE">
            <w:pPr>
              <w:spacing w:line="256" w:lineRule="auto"/>
              <w:rPr>
                <w:rFonts w:ascii="Arial"/>
                <w:sz w:val="21"/>
              </w:rPr>
            </w:pPr>
          </w:p>
          <w:p w14:paraId="06B7F5CA">
            <w:pPr>
              <w:spacing w:before="56" w:line="233" w:lineRule="auto"/>
              <w:ind w:left="1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项目</w:t>
            </w:r>
          </w:p>
          <w:p w14:paraId="2E54143E">
            <w:pPr>
              <w:spacing w:before="85" w:line="233" w:lineRule="auto"/>
              <w:ind w:left="16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年度</w:t>
            </w:r>
          </w:p>
        </w:tc>
        <w:tc>
          <w:tcPr>
            <w:tcW w:w="716" w:type="dxa"/>
            <w:vAlign w:val="top"/>
          </w:tcPr>
          <w:p w14:paraId="272B2D67">
            <w:pPr>
              <w:spacing w:line="255" w:lineRule="auto"/>
              <w:rPr>
                <w:rFonts w:ascii="Arial"/>
                <w:sz w:val="21"/>
              </w:rPr>
            </w:pPr>
          </w:p>
          <w:p w14:paraId="7D0D3A46">
            <w:pPr>
              <w:spacing w:line="256" w:lineRule="auto"/>
              <w:rPr>
                <w:rFonts w:ascii="Arial"/>
                <w:sz w:val="21"/>
              </w:rPr>
            </w:pPr>
          </w:p>
          <w:p w14:paraId="56F2F8CB">
            <w:pPr>
              <w:spacing w:line="256" w:lineRule="auto"/>
              <w:rPr>
                <w:rFonts w:ascii="Arial"/>
                <w:sz w:val="21"/>
              </w:rPr>
            </w:pPr>
          </w:p>
          <w:p w14:paraId="0A18F3D8">
            <w:pPr>
              <w:spacing w:line="256" w:lineRule="auto"/>
              <w:rPr>
                <w:rFonts w:ascii="Arial"/>
                <w:sz w:val="21"/>
              </w:rPr>
            </w:pPr>
          </w:p>
          <w:p w14:paraId="250E2E5C">
            <w:pPr>
              <w:spacing w:before="56" w:line="233" w:lineRule="auto"/>
              <w:ind w:left="1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</w:p>
          <w:p w14:paraId="470169DC">
            <w:pPr>
              <w:spacing w:before="86" w:line="233" w:lineRule="auto"/>
              <w:ind w:left="1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内容</w:t>
            </w:r>
          </w:p>
        </w:tc>
        <w:tc>
          <w:tcPr>
            <w:tcW w:w="699" w:type="dxa"/>
            <w:vAlign w:val="top"/>
          </w:tcPr>
          <w:p w14:paraId="5F252CD4">
            <w:pPr>
              <w:spacing w:line="255" w:lineRule="auto"/>
              <w:rPr>
                <w:rFonts w:ascii="Arial"/>
                <w:sz w:val="21"/>
              </w:rPr>
            </w:pPr>
          </w:p>
          <w:p w14:paraId="5D956302">
            <w:pPr>
              <w:spacing w:line="256" w:lineRule="auto"/>
              <w:rPr>
                <w:rFonts w:ascii="Arial"/>
                <w:sz w:val="21"/>
              </w:rPr>
            </w:pPr>
          </w:p>
          <w:p w14:paraId="7DF3E234">
            <w:pPr>
              <w:spacing w:line="256" w:lineRule="auto"/>
              <w:rPr>
                <w:rFonts w:ascii="Arial"/>
                <w:sz w:val="21"/>
              </w:rPr>
            </w:pPr>
          </w:p>
          <w:p w14:paraId="62091509">
            <w:pPr>
              <w:spacing w:line="256" w:lineRule="auto"/>
              <w:rPr>
                <w:rFonts w:ascii="Arial"/>
                <w:sz w:val="21"/>
              </w:rPr>
            </w:pPr>
          </w:p>
          <w:p w14:paraId="1BC5B06F">
            <w:pPr>
              <w:spacing w:before="56" w:line="233" w:lineRule="auto"/>
              <w:ind w:left="17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实现</w:t>
            </w:r>
          </w:p>
          <w:p w14:paraId="6C961039">
            <w:pPr>
              <w:spacing w:before="86" w:line="233" w:lineRule="auto"/>
              <w:ind w:left="17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功能</w:t>
            </w:r>
          </w:p>
        </w:tc>
        <w:tc>
          <w:tcPr>
            <w:tcW w:w="616" w:type="dxa"/>
            <w:vAlign w:val="top"/>
          </w:tcPr>
          <w:p w14:paraId="07548382">
            <w:pPr>
              <w:spacing w:line="255" w:lineRule="auto"/>
              <w:rPr>
                <w:rFonts w:ascii="Arial"/>
                <w:sz w:val="21"/>
              </w:rPr>
            </w:pPr>
          </w:p>
          <w:p w14:paraId="60B01E68">
            <w:pPr>
              <w:spacing w:line="256" w:lineRule="auto"/>
              <w:rPr>
                <w:rFonts w:ascii="Arial"/>
                <w:sz w:val="21"/>
              </w:rPr>
            </w:pPr>
          </w:p>
          <w:p w14:paraId="08168825">
            <w:pPr>
              <w:spacing w:line="256" w:lineRule="auto"/>
              <w:rPr>
                <w:rFonts w:ascii="Arial"/>
                <w:sz w:val="21"/>
              </w:rPr>
            </w:pPr>
          </w:p>
          <w:p w14:paraId="4D2138C2">
            <w:pPr>
              <w:spacing w:line="256" w:lineRule="auto"/>
              <w:rPr>
                <w:rFonts w:ascii="Arial"/>
                <w:sz w:val="21"/>
              </w:rPr>
            </w:pPr>
          </w:p>
          <w:p w14:paraId="4202AE73">
            <w:pPr>
              <w:spacing w:before="56" w:line="233" w:lineRule="auto"/>
              <w:ind w:left="13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</w:p>
          <w:p w14:paraId="3EBFCCCE">
            <w:pPr>
              <w:spacing w:before="85" w:line="234" w:lineRule="auto"/>
              <w:ind w:left="13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周期</w:t>
            </w:r>
          </w:p>
        </w:tc>
        <w:tc>
          <w:tcPr>
            <w:tcW w:w="769" w:type="dxa"/>
            <w:vAlign w:val="top"/>
          </w:tcPr>
          <w:p w14:paraId="50A4EA38">
            <w:pPr>
              <w:spacing w:line="255" w:lineRule="auto"/>
              <w:rPr>
                <w:rFonts w:ascii="Arial"/>
                <w:sz w:val="21"/>
              </w:rPr>
            </w:pPr>
          </w:p>
          <w:p w14:paraId="76936CDD">
            <w:pPr>
              <w:spacing w:line="256" w:lineRule="auto"/>
              <w:rPr>
                <w:rFonts w:ascii="Arial"/>
                <w:sz w:val="21"/>
              </w:rPr>
            </w:pPr>
          </w:p>
          <w:p w14:paraId="5CDAF62A">
            <w:pPr>
              <w:spacing w:line="256" w:lineRule="auto"/>
              <w:rPr>
                <w:rFonts w:ascii="Arial"/>
                <w:sz w:val="21"/>
              </w:rPr>
            </w:pPr>
          </w:p>
          <w:p w14:paraId="58FB16DC">
            <w:pPr>
              <w:spacing w:line="256" w:lineRule="auto"/>
              <w:rPr>
                <w:rFonts w:ascii="Arial"/>
                <w:sz w:val="21"/>
              </w:rPr>
            </w:pPr>
          </w:p>
          <w:p w14:paraId="0599D5EF">
            <w:pPr>
              <w:spacing w:before="56" w:line="233" w:lineRule="auto"/>
              <w:ind w:left="20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</w:p>
          <w:p w14:paraId="478A0053">
            <w:pPr>
              <w:spacing w:before="85" w:line="233" w:lineRule="auto"/>
              <w:ind w:left="2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进度</w:t>
            </w:r>
          </w:p>
        </w:tc>
        <w:tc>
          <w:tcPr>
            <w:tcW w:w="684" w:type="dxa"/>
            <w:vAlign w:val="top"/>
          </w:tcPr>
          <w:p w14:paraId="09A64FB0">
            <w:pPr>
              <w:spacing w:line="292" w:lineRule="auto"/>
              <w:rPr>
                <w:rFonts w:ascii="Arial"/>
                <w:sz w:val="21"/>
              </w:rPr>
            </w:pPr>
          </w:p>
          <w:p w14:paraId="772D6BAE">
            <w:pPr>
              <w:spacing w:line="292" w:lineRule="auto"/>
              <w:rPr>
                <w:rFonts w:ascii="Arial"/>
                <w:sz w:val="21"/>
              </w:rPr>
            </w:pPr>
          </w:p>
          <w:p w14:paraId="418FA856">
            <w:pPr>
              <w:spacing w:line="292" w:lineRule="auto"/>
              <w:rPr>
                <w:rFonts w:ascii="Arial"/>
                <w:sz w:val="21"/>
              </w:rPr>
            </w:pPr>
          </w:p>
          <w:p w14:paraId="2C6AE83A">
            <w:pPr>
              <w:spacing w:before="55" w:line="232" w:lineRule="auto"/>
              <w:ind w:left="1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承办</w:t>
            </w:r>
          </w:p>
          <w:p w14:paraId="718606B4">
            <w:pPr>
              <w:spacing w:before="86" w:line="242" w:lineRule="auto"/>
              <w:ind w:left="16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企业</w:t>
            </w:r>
          </w:p>
          <w:p w14:paraId="55B182EF">
            <w:pPr>
              <w:spacing w:before="76" w:line="233" w:lineRule="auto"/>
              <w:ind w:left="16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全称</w:t>
            </w:r>
          </w:p>
        </w:tc>
        <w:tc>
          <w:tcPr>
            <w:tcW w:w="596" w:type="dxa"/>
            <w:vAlign w:val="top"/>
          </w:tcPr>
          <w:p w14:paraId="208D6178">
            <w:pPr>
              <w:spacing w:line="242" w:lineRule="auto"/>
              <w:rPr>
                <w:rFonts w:ascii="Arial"/>
                <w:sz w:val="21"/>
              </w:rPr>
            </w:pPr>
          </w:p>
          <w:p w14:paraId="3FFCCC16">
            <w:pPr>
              <w:spacing w:line="242" w:lineRule="auto"/>
              <w:rPr>
                <w:rFonts w:ascii="Arial"/>
                <w:sz w:val="21"/>
              </w:rPr>
            </w:pPr>
          </w:p>
          <w:p w14:paraId="7F50165A">
            <w:pPr>
              <w:spacing w:line="242" w:lineRule="auto"/>
              <w:rPr>
                <w:rFonts w:ascii="Arial"/>
                <w:sz w:val="21"/>
              </w:rPr>
            </w:pPr>
          </w:p>
          <w:p w14:paraId="5CC72959">
            <w:pPr>
              <w:spacing w:before="55" w:line="235" w:lineRule="auto"/>
              <w:ind w:left="12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计划</w:t>
            </w:r>
          </w:p>
          <w:p w14:paraId="57CD1D4F">
            <w:pPr>
              <w:spacing w:before="83" w:line="233" w:lineRule="auto"/>
              <w:ind w:left="1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支持</w:t>
            </w:r>
          </w:p>
          <w:p w14:paraId="0BDB8EA7">
            <w:pPr>
              <w:spacing w:before="84" w:line="235" w:lineRule="auto"/>
              <w:ind w:left="13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比例</w:t>
            </w:r>
          </w:p>
          <w:p w14:paraId="57DEB5EC">
            <w:pPr>
              <w:spacing w:before="107" w:line="233" w:lineRule="auto"/>
              <w:ind w:left="12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5"/>
                <w:sz w:val="13"/>
                <w:szCs w:val="1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13"/>
                <w:szCs w:val="13"/>
              </w:rPr>
              <w:t>%</w:t>
            </w:r>
            <w:r>
              <w:rPr>
                <w:rFonts w:ascii="黑体" w:hAnsi="黑体" w:eastAsia="黑体" w:cs="黑体"/>
                <w:spacing w:val="-5"/>
                <w:sz w:val="13"/>
                <w:szCs w:val="13"/>
              </w:rPr>
              <w:t>）</w:t>
            </w:r>
          </w:p>
        </w:tc>
        <w:tc>
          <w:tcPr>
            <w:tcW w:w="601" w:type="dxa"/>
            <w:vAlign w:val="top"/>
          </w:tcPr>
          <w:p w14:paraId="759FC175">
            <w:pPr>
              <w:spacing w:line="292" w:lineRule="auto"/>
              <w:rPr>
                <w:rFonts w:ascii="Arial"/>
                <w:sz w:val="21"/>
              </w:rPr>
            </w:pPr>
          </w:p>
          <w:p w14:paraId="375F5326">
            <w:pPr>
              <w:spacing w:line="292" w:lineRule="auto"/>
              <w:rPr>
                <w:rFonts w:ascii="Arial"/>
                <w:sz w:val="21"/>
              </w:rPr>
            </w:pPr>
          </w:p>
          <w:p w14:paraId="4AD2DE1D">
            <w:pPr>
              <w:spacing w:line="292" w:lineRule="auto"/>
              <w:rPr>
                <w:rFonts w:ascii="Arial"/>
                <w:sz w:val="21"/>
              </w:rPr>
            </w:pPr>
          </w:p>
          <w:p w14:paraId="0B2E4738">
            <w:pPr>
              <w:spacing w:before="55" w:line="233" w:lineRule="auto"/>
              <w:ind w:left="12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总投</w:t>
            </w:r>
          </w:p>
          <w:p w14:paraId="4793E1C1">
            <w:pPr>
              <w:spacing w:before="84" w:line="233" w:lineRule="auto"/>
              <w:ind w:left="13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资额</w:t>
            </w:r>
          </w:p>
          <w:p w14:paraId="5CFF3DFD">
            <w:pPr>
              <w:spacing w:before="109" w:line="212" w:lineRule="auto"/>
              <w:ind w:left="12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pacing w:val="-1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)</w:t>
            </w:r>
          </w:p>
        </w:tc>
        <w:tc>
          <w:tcPr>
            <w:tcW w:w="824" w:type="dxa"/>
            <w:vAlign w:val="top"/>
          </w:tcPr>
          <w:p w14:paraId="6F914031">
            <w:pPr>
              <w:spacing w:line="279" w:lineRule="auto"/>
              <w:rPr>
                <w:rFonts w:ascii="Arial"/>
                <w:sz w:val="21"/>
              </w:rPr>
            </w:pPr>
          </w:p>
          <w:p w14:paraId="22CCF030">
            <w:pPr>
              <w:spacing w:before="55" w:line="233" w:lineRule="auto"/>
              <w:ind w:left="15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县域商</w:t>
            </w:r>
          </w:p>
          <w:p w14:paraId="70BACF8A">
            <w:pPr>
              <w:spacing w:before="85" w:line="235" w:lineRule="auto"/>
              <w:ind w:left="1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业体系</w:t>
            </w:r>
          </w:p>
          <w:p w14:paraId="1C1DCCF5">
            <w:pPr>
              <w:spacing w:before="83" w:line="233" w:lineRule="auto"/>
              <w:ind w:left="1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建设行</w:t>
            </w:r>
          </w:p>
          <w:p w14:paraId="041578A7">
            <w:pPr>
              <w:spacing w:before="85" w:line="233" w:lineRule="auto"/>
              <w:ind w:left="1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动支持</w:t>
            </w:r>
          </w:p>
          <w:p w14:paraId="5BEF4B37">
            <w:pPr>
              <w:spacing w:before="86" w:line="232" w:lineRule="auto"/>
              <w:ind w:left="14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方向投</w:t>
            </w:r>
          </w:p>
          <w:p w14:paraId="4772416C">
            <w:pPr>
              <w:spacing w:before="86" w:line="233" w:lineRule="auto"/>
              <w:ind w:left="15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资额度</w:t>
            </w:r>
          </w:p>
          <w:p w14:paraId="72BEC2DC">
            <w:pPr>
              <w:spacing w:before="109" w:line="224" w:lineRule="auto"/>
              <w:ind w:left="162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4"/>
                <w:sz w:val="13"/>
                <w:szCs w:val="13"/>
              </w:rPr>
              <w:t>（万元）</w:t>
            </w:r>
          </w:p>
        </w:tc>
        <w:tc>
          <w:tcPr>
            <w:tcW w:w="780" w:type="dxa"/>
            <w:vAlign w:val="top"/>
          </w:tcPr>
          <w:p w14:paraId="2A3E3EB9">
            <w:pPr>
              <w:spacing w:line="241" w:lineRule="auto"/>
              <w:rPr>
                <w:rFonts w:ascii="Arial"/>
                <w:sz w:val="21"/>
              </w:rPr>
            </w:pPr>
          </w:p>
          <w:p w14:paraId="78BCF9F3">
            <w:pPr>
              <w:spacing w:line="242" w:lineRule="auto"/>
              <w:rPr>
                <w:rFonts w:ascii="Arial"/>
                <w:sz w:val="21"/>
              </w:rPr>
            </w:pPr>
          </w:p>
          <w:p w14:paraId="7E5EC577">
            <w:pPr>
              <w:spacing w:line="242" w:lineRule="auto"/>
              <w:rPr>
                <w:rFonts w:ascii="Arial"/>
                <w:sz w:val="21"/>
              </w:rPr>
            </w:pPr>
          </w:p>
          <w:p w14:paraId="50FA2EB5">
            <w:pPr>
              <w:spacing w:before="55" w:line="233" w:lineRule="auto"/>
              <w:ind w:left="13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中央财</w:t>
            </w:r>
          </w:p>
          <w:p w14:paraId="137A8EA2">
            <w:pPr>
              <w:spacing w:before="85" w:line="233" w:lineRule="auto"/>
              <w:ind w:left="12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政资金</w:t>
            </w:r>
          </w:p>
          <w:p w14:paraId="39A1C720">
            <w:pPr>
              <w:spacing w:before="85" w:line="321" w:lineRule="auto"/>
              <w:ind w:left="129" w:right="11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支持金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z w:val="17"/>
                <w:szCs w:val="17"/>
              </w:rPr>
              <w:t>额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)</w:t>
            </w:r>
          </w:p>
        </w:tc>
        <w:tc>
          <w:tcPr>
            <w:tcW w:w="765" w:type="dxa"/>
            <w:vAlign w:val="top"/>
          </w:tcPr>
          <w:p w14:paraId="1D0BFD68">
            <w:pPr>
              <w:spacing w:line="241" w:lineRule="auto"/>
              <w:rPr>
                <w:rFonts w:ascii="Arial"/>
                <w:sz w:val="21"/>
              </w:rPr>
            </w:pPr>
          </w:p>
          <w:p w14:paraId="10099537">
            <w:pPr>
              <w:spacing w:line="242" w:lineRule="auto"/>
              <w:rPr>
                <w:rFonts w:ascii="Arial"/>
                <w:sz w:val="21"/>
              </w:rPr>
            </w:pPr>
          </w:p>
          <w:p w14:paraId="596F8E38">
            <w:pPr>
              <w:spacing w:line="242" w:lineRule="auto"/>
              <w:rPr>
                <w:rFonts w:ascii="Arial"/>
                <w:sz w:val="21"/>
              </w:rPr>
            </w:pPr>
          </w:p>
          <w:p w14:paraId="53059E9A">
            <w:pPr>
              <w:spacing w:before="56" w:line="232" w:lineRule="auto"/>
              <w:ind w:left="11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地方财</w:t>
            </w:r>
          </w:p>
          <w:p w14:paraId="2E60BF79">
            <w:pPr>
              <w:spacing w:before="86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政资金</w:t>
            </w:r>
          </w:p>
          <w:p w14:paraId="26A6E6C5">
            <w:pPr>
              <w:spacing w:before="85" w:line="321" w:lineRule="auto"/>
              <w:ind w:left="122" w:right="11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支持金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z w:val="17"/>
                <w:szCs w:val="17"/>
              </w:rPr>
              <w:t>额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)</w:t>
            </w:r>
          </w:p>
        </w:tc>
        <w:tc>
          <w:tcPr>
            <w:tcW w:w="600" w:type="dxa"/>
            <w:vAlign w:val="top"/>
          </w:tcPr>
          <w:p w14:paraId="047C46F8">
            <w:pPr>
              <w:spacing w:line="241" w:lineRule="auto"/>
              <w:rPr>
                <w:rFonts w:ascii="Arial"/>
                <w:sz w:val="21"/>
              </w:rPr>
            </w:pPr>
          </w:p>
          <w:p w14:paraId="306576A0">
            <w:pPr>
              <w:spacing w:line="242" w:lineRule="auto"/>
              <w:rPr>
                <w:rFonts w:ascii="Arial"/>
                <w:sz w:val="21"/>
              </w:rPr>
            </w:pPr>
          </w:p>
          <w:p w14:paraId="06682045">
            <w:pPr>
              <w:spacing w:line="242" w:lineRule="auto"/>
              <w:rPr>
                <w:rFonts w:ascii="Arial"/>
                <w:sz w:val="21"/>
              </w:rPr>
            </w:pPr>
          </w:p>
          <w:p w14:paraId="0303C053">
            <w:pPr>
              <w:spacing w:before="56" w:line="242" w:lineRule="auto"/>
              <w:ind w:left="12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企业</w:t>
            </w:r>
          </w:p>
          <w:p w14:paraId="29AD95B0">
            <w:pPr>
              <w:spacing w:before="77" w:line="233" w:lineRule="auto"/>
              <w:ind w:left="1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配套</w:t>
            </w:r>
          </w:p>
          <w:p w14:paraId="44054F2A">
            <w:pPr>
              <w:spacing w:before="84" w:line="233" w:lineRule="auto"/>
              <w:ind w:left="13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资金</w:t>
            </w:r>
          </w:p>
          <w:p w14:paraId="5C339213">
            <w:pPr>
              <w:spacing w:before="109" w:line="212" w:lineRule="auto"/>
              <w:ind w:left="12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pacing w:val="-2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)</w:t>
            </w:r>
          </w:p>
        </w:tc>
        <w:tc>
          <w:tcPr>
            <w:tcW w:w="899" w:type="dxa"/>
            <w:vAlign w:val="top"/>
          </w:tcPr>
          <w:p w14:paraId="390A1B5F">
            <w:pPr>
              <w:spacing w:before="186" w:line="233" w:lineRule="auto"/>
              <w:ind w:left="1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是否进</w:t>
            </w:r>
          </w:p>
          <w:p w14:paraId="0773047D">
            <w:pPr>
              <w:spacing w:before="84" w:line="233" w:lineRule="auto"/>
              <w:ind w:left="1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行可行</w:t>
            </w:r>
          </w:p>
          <w:p w14:paraId="733097F9">
            <w:pPr>
              <w:spacing w:before="85" w:line="233" w:lineRule="auto"/>
              <w:ind w:left="1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性研究</w:t>
            </w:r>
          </w:p>
          <w:p w14:paraId="5801C932">
            <w:pPr>
              <w:spacing w:before="85" w:line="233" w:lineRule="auto"/>
              <w:ind w:left="1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或专家</w:t>
            </w:r>
          </w:p>
          <w:p w14:paraId="07EBF512">
            <w:pPr>
              <w:spacing w:before="85" w:line="233" w:lineRule="auto"/>
              <w:ind w:left="1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评审等</w:t>
            </w:r>
          </w:p>
          <w:p w14:paraId="4A3C011C">
            <w:pPr>
              <w:spacing w:before="86" w:line="233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并出具</w:t>
            </w:r>
          </w:p>
          <w:p w14:paraId="53BF3FC3">
            <w:pPr>
              <w:spacing w:before="85" w:line="326" w:lineRule="auto"/>
              <w:ind w:left="364" w:right="176" w:hanging="17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书面意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见</w:t>
            </w:r>
          </w:p>
        </w:tc>
        <w:tc>
          <w:tcPr>
            <w:tcW w:w="1050" w:type="dxa"/>
            <w:vAlign w:val="top"/>
          </w:tcPr>
          <w:p w14:paraId="49402F74">
            <w:pPr>
              <w:spacing w:line="279" w:lineRule="auto"/>
              <w:rPr>
                <w:rFonts w:ascii="Arial"/>
                <w:sz w:val="21"/>
              </w:rPr>
            </w:pPr>
          </w:p>
          <w:p w14:paraId="66AA2049">
            <w:pPr>
              <w:spacing w:before="55" w:line="326" w:lineRule="auto"/>
              <w:ind w:left="118" w:right="103" w:firstLine="56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是否引入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7"/>
                <w:szCs w:val="17"/>
              </w:rPr>
              <w:t>审计、财评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7"/>
                <w:szCs w:val="17"/>
              </w:rPr>
              <w:t>等第三方</w:t>
            </w:r>
          </w:p>
          <w:p w14:paraId="3FC69F80">
            <w:pPr>
              <w:spacing w:line="232" w:lineRule="auto"/>
              <w:ind w:left="17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参与项目</w:t>
            </w:r>
          </w:p>
          <w:p w14:paraId="67A88E1F">
            <w:pPr>
              <w:spacing w:before="85" w:line="233" w:lineRule="auto"/>
              <w:ind w:left="1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5"/>
                <w:sz w:val="17"/>
                <w:szCs w:val="17"/>
              </w:rPr>
              <w:t>决策、招标</w:t>
            </w:r>
          </w:p>
          <w:p w14:paraId="55FD79FC">
            <w:pPr>
              <w:spacing w:before="86" w:line="233" w:lineRule="auto"/>
              <w:ind w:left="16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等重要环</w:t>
            </w:r>
          </w:p>
          <w:p w14:paraId="2B864C74">
            <w:pPr>
              <w:spacing w:before="85" w:line="232" w:lineRule="auto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节监督</w:t>
            </w:r>
          </w:p>
        </w:tc>
        <w:tc>
          <w:tcPr>
            <w:tcW w:w="943" w:type="dxa"/>
            <w:vAlign w:val="top"/>
          </w:tcPr>
          <w:p w14:paraId="0391C214">
            <w:pPr>
              <w:spacing w:line="280" w:lineRule="auto"/>
              <w:rPr>
                <w:rFonts w:ascii="Arial"/>
                <w:sz w:val="21"/>
              </w:rPr>
            </w:pPr>
          </w:p>
          <w:p w14:paraId="443F808C">
            <w:pPr>
              <w:spacing w:before="55" w:line="233" w:lineRule="auto"/>
              <w:ind w:left="1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是否已获</w:t>
            </w:r>
          </w:p>
          <w:p w14:paraId="65D75FEF">
            <w:pPr>
              <w:spacing w:before="84" w:line="326" w:lineRule="auto"/>
              <w:ind w:left="113" w:right="46" w:firstLine="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发改、邮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17"/>
                <w:szCs w:val="17"/>
              </w:rPr>
              <w:t>政、供销、</w:t>
            </w:r>
          </w:p>
          <w:p w14:paraId="163BE53A">
            <w:pPr>
              <w:spacing w:line="233" w:lineRule="auto"/>
              <w:ind w:left="11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农产品供</w:t>
            </w:r>
          </w:p>
          <w:p w14:paraId="4A2C7D3A">
            <w:pPr>
              <w:spacing w:before="85" w:line="234" w:lineRule="auto"/>
              <w:ind w:left="11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应链等中</w:t>
            </w:r>
          </w:p>
          <w:p w14:paraId="1B81E470">
            <w:pPr>
              <w:spacing w:before="83" w:line="327" w:lineRule="auto"/>
              <w:ind w:left="206" w:right="110" w:hanging="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央财政资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金支持</w:t>
            </w:r>
          </w:p>
        </w:tc>
      </w:tr>
      <w:tr w14:paraId="720BA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33" w:type="dxa"/>
            <w:vAlign w:val="top"/>
          </w:tcPr>
          <w:p w14:paraId="0F969AD3">
            <w:pPr>
              <w:spacing w:line="303" w:lineRule="auto"/>
              <w:rPr>
                <w:rFonts w:ascii="Arial"/>
                <w:sz w:val="21"/>
              </w:rPr>
            </w:pPr>
          </w:p>
          <w:p w14:paraId="63C9EDF0">
            <w:pPr>
              <w:spacing w:before="48" w:line="197" w:lineRule="auto"/>
              <w:ind w:left="1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858" w:type="dxa"/>
            <w:vAlign w:val="top"/>
          </w:tcPr>
          <w:p w14:paraId="59EDD673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57A781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2BABB7E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1E572D9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D9ADC82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32C3D5E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FEF7E9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3819F8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343AAAC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64CE3FA6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81A164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289ED5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914DCC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A9208B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BE6FB2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881669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C8492AE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A6390E8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090051AF">
            <w:pPr>
              <w:rPr>
                <w:rFonts w:ascii="Arial"/>
                <w:sz w:val="21"/>
              </w:rPr>
            </w:pPr>
          </w:p>
        </w:tc>
      </w:tr>
      <w:tr w14:paraId="0FD99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33" w:type="dxa"/>
            <w:vAlign w:val="top"/>
          </w:tcPr>
          <w:p w14:paraId="54357115">
            <w:pPr>
              <w:spacing w:line="303" w:lineRule="auto"/>
              <w:rPr>
                <w:rFonts w:ascii="Arial"/>
                <w:sz w:val="21"/>
              </w:rPr>
            </w:pPr>
          </w:p>
          <w:p w14:paraId="3768130A">
            <w:pPr>
              <w:spacing w:before="48" w:line="197" w:lineRule="auto"/>
              <w:ind w:left="1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858" w:type="dxa"/>
            <w:vAlign w:val="top"/>
          </w:tcPr>
          <w:p w14:paraId="7694A540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91A782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EE2BDF2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688EEA3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AACA705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7995B05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FD1BA6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E91E60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D39B829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626FE4F2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61E548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994885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4ACC12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A21329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6AB919C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979B2E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E2C50A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1B8751B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6B5A4988">
            <w:pPr>
              <w:rPr>
                <w:rFonts w:ascii="Arial"/>
                <w:sz w:val="21"/>
              </w:rPr>
            </w:pPr>
          </w:p>
        </w:tc>
      </w:tr>
      <w:tr w14:paraId="1330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33" w:type="dxa"/>
            <w:vAlign w:val="top"/>
          </w:tcPr>
          <w:p w14:paraId="19FF117B">
            <w:pPr>
              <w:spacing w:line="310" w:lineRule="auto"/>
              <w:rPr>
                <w:rFonts w:ascii="Arial"/>
                <w:sz w:val="21"/>
              </w:rPr>
            </w:pPr>
          </w:p>
          <w:p w14:paraId="0B128880">
            <w:pPr>
              <w:spacing w:before="49" w:line="197" w:lineRule="auto"/>
              <w:ind w:left="1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858" w:type="dxa"/>
            <w:vAlign w:val="top"/>
          </w:tcPr>
          <w:p w14:paraId="7E519F82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2B8ECB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82D3825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6764924B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1F095CE6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66FE40E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737BEC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D88678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B21C85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0E0FA1F7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EACB9C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0E481F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2E3D36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CBC140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F7DB26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3D20E4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A475F73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7572155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1FF16253">
            <w:pPr>
              <w:rPr>
                <w:rFonts w:ascii="Arial"/>
                <w:sz w:val="21"/>
              </w:rPr>
            </w:pPr>
          </w:p>
        </w:tc>
      </w:tr>
    </w:tbl>
    <w:p w14:paraId="43D90FC2">
      <w:pPr>
        <w:pStyle w:val="2"/>
        <w:spacing w:before="15" w:line="226" w:lineRule="auto"/>
        <w:ind w:left="731" w:right="444" w:hanging="502"/>
        <w:rPr>
          <w:sz w:val="23"/>
          <w:szCs w:val="23"/>
        </w:rPr>
      </w:pPr>
      <w:r>
        <w:rPr>
          <w:spacing w:val="9"/>
          <w:sz w:val="23"/>
          <w:szCs w:val="23"/>
        </w:rPr>
        <w:t>注：各盟市根据细化支持方向，组织旗县市申报，建立分年度储备项目库。其中，</w:t>
      </w:r>
      <w:r>
        <w:rPr>
          <w:spacing w:val="8"/>
          <w:sz w:val="23"/>
          <w:szCs w:val="23"/>
        </w:rPr>
        <w:t>项目清单应与申报方案工一并报备，并在商务部信息系统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中录入。</w:t>
      </w:r>
    </w:p>
    <w:p w14:paraId="18BCB9E4">
      <w:pPr>
        <w:spacing w:line="226" w:lineRule="auto"/>
        <w:rPr>
          <w:sz w:val="23"/>
          <w:szCs w:val="23"/>
        </w:rPr>
        <w:sectPr>
          <w:footerReference r:id="rId19" w:type="default"/>
          <w:pgSz w:w="16838" w:h="11906"/>
          <w:pgMar w:top="400" w:right="690" w:bottom="1178" w:left="918" w:header="0" w:footer="964" w:gutter="0"/>
          <w:cols w:space="720" w:num="1"/>
        </w:sectPr>
      </w:pPr>
    </w:p>
    <w:p w14:paraId="5CDF8F09">
      <w:pPr>
        <w:spacing w:before="4"/>
      </w:pPr>
    </w:p>
    <w:p w14:paraId="26C14535">
      <w:pPr>
        <w:spacing w:before="4"/>
      </w:pPr>
    </w:p>
    <w:p w14:paraId="5A5EA0C5">
      <w:pPr>
        <w:spacing w:before="4"/>
      </w:pPr>
    </w:p>
    <w:p w14:paraId="0CA0729F">
      <w:pPr>
        <w:spacing w:before="4"/>
      </w:pPr>
    </w:p>
    <w:p w14:paraId="3CE26C37">
      <w:pPr>
        <w:spacing w:before="4"/>
      </w:pPr>
    </w:p>
    <w:p w14:paraId="44FA1A97">
      <w:pPr>
        <w:spacing w:before="4"/>
      </w:pPr>
    </w:p>
    <w:p w14:paraId="0B2606CF">
      <w:pPr>
        <w:spacing w:before="4"/>
      </w:pPr>
    </w:p>
    <w:p w14:paraId="2EF76ACE">
      <w:pPr>
        <w:spacing w:before="4"/>
      </w:pPr>
    </w:p>
    <w:p w14:paraId="63D7BB93">
      <w:pPr>
        <w:spacing w:before="4"/>
      </w:pPr>
    </w:p>
    <w:p w14:paraId="79E512B7">
      <w:pPr>
        <w:spacing w:before="4"/>
      </w:pPr>
    </w:p>
    <w:p w14:paraId="4129EDF3">
      <w:pPr>
        <w:spacing w:before="4"/>
      </w:pPr>
    </w:p>
    <w:p w14:paraId="0174CBF1">
      <w:pPr>
        <w:spacing w:before="4"/>
      </w:pPr>
    </w:p>
    <w:p w14:paraId="6C40E223">
      <w:pPr>
        <w:spacing w:before="3"/>
      </w:pPr>
    </w:p>
    <w:p w14:paraId="33B06795">
      <w:pPr>
        <w:spacing w:before="3"/>
      </w:pPr>
    </w:p>
    <w:p w14:paraId="08CBE736">
      <w:pPr>
        <w:spacing w:before="3"/>
      </w:pPr>
    </w:p>
    <w:p w14:paraId="21DCBEFA">
      <w:pPr>
        <w:spacing w:before="3"/>
      </w:pPr>
    </w:p>
    <w:p w14:paraId="30AB1060">
      <w:pPr>
        <w:spacing w:before="3"/>
      </w:pPr>
    </w:p>
    <w:p w14:paraId="1EC8ED3E">
      <w:pPr>
        <w:spacing w:before="3"/>
      </w:pPr>
    </w:p>
    <w:p w14:paraId="208DDEE7">
      <w:pPr>
        <w:spacing w:before="3"/>
      </w:pPr>
    </w:p>
    <w:p w14:paraId="776B289C">
      <w:pPr>
        <w:spacing w:before="3"/>
      </w:pPr>
    </w:p>
    <w:p w14:paraId="3B8B3C8C">
      <w:pPr>
        <w:spacing w:before="3"/>
      </w:pPr>
    </w:p>
    <w:p w14:paraId="579A66E4">
      <w:pPr>
        <w:spacing w:before="3"/>
      </w:pPr>
    </w:p>
    <w:p w14:paraId="303A8223">
      <w:pPr>
        <w:spacing w:before="3"/>
      </w:pPr>
    </w:p>
    <w:p w14:paraId="34E4C252">
      <w:pPr>
        <w:spacing w:before="3"/>
      </w:pPr>
    </w:p>
    <w:p w14:paraId="3297EBF9">
      <w:pPr>
        <w:spacing w:before="3"/>
      </w:pPr>
    </w:p>
    <w:p w14:paraId="6CA48270">
      <w:pPr>
        <w:spacing w:before="3"/>
      </w:pPr>
    </w:p>
    <w:p w14:paraId="52BB9CFA">
      <w:pPr>
        <w:spacing w:before="3"/>
      </w:pPr>
    </w:p>
    <w:p w14:paraId="3D93EF10">
      <w:pPr>
        <w:spacing w:before="3"/>
      </w:pPr>
    </w:p>
    <w:p w14:paraId="4CC65836">
      <w:pPr>
        <w:spacing w:before="3"/>
      </w:pPr>
    </w:p>
    <w:p w14:paraId="44C94B14">
      <w:pPr>
        <w:spacing w:before="3"/>
      </w:pPr>
    </w:p>
    <w:p w14:paraId="33F18A96">
      <w:pPr>
        <w:spacing w:before="3"/>
      </w:pPr>
    </w:p>
    <w:p w14:paraId="65343C98">
      <w:pPr>
        <w:spacing w:before="3"/>
      </w:pPr>
    </w:p>
    <w:p w14:paraId="15D998EF">
      <w:pPr>
        <w:spacing w:before="3"/>
      </w:pPr>
    </w:p>
    <w:p w14:paraId="1A0BE2CD">
      <w:pPr>
        <w:spacing w:before="3"/>
      </w:pPr>
    </w:p>
    <w:p w14:paraId="69686372">
      <w:pPr>
        <w:spacing w:before="3"/>
      </w:pPr>
    </w:p>
    <w:p w14:paraId="35527DC6">
      <w:pPr>
        <w:spacing w:before="3"/>
      </w:pPr>
    </w:p>
    <w:p w14:paraId="423A0A32">
      <w:pPr>
        <w:spacing w:before="3"/>
      </w:pPr>
    </w:p>
    <w:p w14:paraId="62B46206">
      <w:pPr>
        <w:spacing w:before="3"/>
      </w:pPr>
    </w:p>
    <w:p w14:paraId="5DBBC80F">
      <w:pPr>
        <w:spacing w:before="3"/>
      </w:pPr>
    </w:p>
    <w:p w14:paraId="32E2C334">
      <w:pPr>
        <w:spacing w:before="3"/>
      </w:pPr>
    </w:p>
    <w:p w14:paraId="6F8BE2D1">
      <w:pPr>
        <w:spacing w:before="3"/>
      </w:pPr>
    </w:p>
    <w:p w14:paraId="17F34DEC">
      <w:pPr>
        <w:spacing w:before="3"/>
      </w:pPr>
    </w:p>
    <w:p w14:paraId="3665B635">
      <w:pPr>
        <w:spacing w:before="3"/>
      </w:pPr>
    </w:p>
    <w:p w14:paraId="449E1169">
      <w:pPr>
        <w:spacing w:before="3"/>
      </w:pPr>
    </w:p>
    <w:p w14:paraId="04114C5B">
      <w:pPr>
        <w:spacing w:before="3"/>
      </w:pPr>
    </w:p>
    <w:p w14:paraId="76A8D05B">
      <w:pPr>
        <w:spacing w:before="3"/>
      </w:pPr>
    </w:p>
    <w:p w14:paraId="52801129">
      <w:pPr>
        <w:spacing w:before="3"/>
      </w:pPr>
    </w:p>
    <w:p w14:paraId="1DDF343F">
      <w:pPr>
        <w:spacing w:before="3"/>
      </w:pPr>
    </w:p>
    <w:p w14:paraId="5BFC615F">
      <w:pPr>
        <w:spacing w:before="3"/>
      </w:pPr>
    </w:p>
    <w:p w14:paraId="65EE964E">
      <w:pPr>
        <w:spacing w:before="3"/>
      </w:pPr>
    </w:p>
    <w:p w14:paraId="5E86F264">
      <w:pPr>
        <w:spacing w:before="3"/>
      </w:pPr>
    </w:p>
    <w:p w14:paraId="31807E81">
      <w:pPr>
        <w:spacing w:before="3"/>
      </w:pPr>
    </w:p>
    <w:p w14:paraId="276DE9BD">
      <w:pPr>
        <w:spacing w:before="3"/>
      </w:pPr>
    </w:p>
    <w:p w14:paraId="642398DC">
      <w:pPr>
        <w:spacing w:before="3"/>
      </w:pPr>
    </w:p>
    <w:p w14:paraId="56C69A9F">
      <w:pPr>
        <w:spacing w:before="3"/>
      </w:pPr>
    </w:p>
    <w:tbl>
      <w:tblPr>
        <w:tblStyle w:val="5"/>
        <w:tblW w:w="86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4522"/>
      </w:tblGrid>
      <w:tr w14:paraId="4F98C0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17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62262EE">
            <w:pPr>
              <w:pStyle w:val="6"/>
              <w:spacing w:before="207" w:line="214" w:lineRule="auto"/>
              <w:ind w:left="42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内蒙古自治区商务厅</w:t>
            </w:r>
          </w:p>
        </w:tc>
        <w:tc>
          <w:tcPr>
            <w:tcW w:w="45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EF07BC">
            <w:pPr>
              <w:pStyle w:val="6"/>
              <w:spacing w:before="206" w:line="215" w:lineRule="auto"/>
              <w:ind w:left="1383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 xml:space="preserve">2025 </w:t>
            </w:r>
            <w:r>
              <w:rPr>
                <w:spacing w:val="-9"/>
                <w:sz w:val="28"/>
                <w:szCs w:val="28"/>
              </w:rPr>
              <w:t>年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月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 xml:space="preserve">19  </w:t>
            </w:r>
            <w:r>
              <w:rPr>
                <w:spacing w:val="-9"/>
                <w:sz w:val="28"/>
                <w:szCs w:val="28"/>
              </w:rPr>
              <w:t>日印发</w:t>
            </w:r>
          </w:p>
        </w:tc>
      </w:tr>
    </w:tbl>
    <w:p w14:paraId="4C82C7B3">
      <w:pPr>
        <w:rPr>
          <w:rFonts w:ascii="Arial"/>
          <w:sz w:val="21"/>
        </w:rPr>
      </w:pPr>
    </w:p>
    <w:sectPr>
      <w:footerReference r:id="rId20" w:type="default"/>
      <w:pgSz w:w="11906" w:h="16838"/>
      <w:pgMar w:top="400" w:right="1673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B0F31">
    <w:pPr>
      <w:spacing w:line="185" w:lineRule="auto"/>
      <w:ind w:left="4111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EB380">
    <w:pPr>
      <w:spacing w:line="185" w:lineRule="auto"/>
      <w:ind w:left="407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2"/>
        <w:sz w:val="23"/>
        <w:szCs w:val="23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9F60">
    <w:pPr>
      <w:spacing w:line="185" w:lineRule="auto"/>
      <w:ind w:left="407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C1473">
    <w:pPr>
      <w:spacing w:line="185" w:lineRule="auto"/>
      <w:ind w:left="430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F838C">
    <w:pPr>
      <w:spacing w:line="185" w:lineRule="auto"/>
      <w:ind w:left="740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DDE0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E4997">
    <w:pPr>
      <w:spacing w:line="185" w:lineRule="auto"/>
      <w:ind w:left="4115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D9B12">
    <w:pPr>
      <w:spacing w:line="185" w:lineRule="auto"/>
      <w:ind w:left="4109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1"/>
        <w:sz w:val="23"/>
        <w:szCs w:val="23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B09D">
    <w:pPr>
      <w:spacing w:line="182" w:lineRule="auto"/>
      <w:ind w:left="4117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A0E15">
    <w:pPr>
      <w:spacing w:line="185" w:lineRule="auto"/>
      <w:ind w:left="411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009CD">
    <w:pPr>
      <w:spacing w:line="182" w:lineRule="auto"/>
      <w:ind w:left="411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D9CC">
    <w:pPr>
      <w:spacing w:line="185" w:lineRule="auto"/>
      <w:ind w:left="4120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5B513">
    <w:pPr>
      <w:spacing w:line="185" w:lineRule="auto"/>
      <w:ind w:left="421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4FBA7">
    <w:pPr>
      <w:spacing w:line="185" w:lineRule="auto"/>
      <w:ind w:left="407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722F8">
    <w:pPr>
      <w:spacing w:before="66" w:line="414" w:lineRule="exact"/>
      <w:ind w:left="46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5"/>
        <w:position w:val="1"/>
        <w:sz w:val="31"/>
        <w:szCs w:val="31"/>
      </w:rPr>
      <w:t>附件</w:t>
    </w:r>
    <w:r>
      <w:rPr>
        <w:rFonts w:ascii="黑体" w:hAnsi="黑体" w:eastAsia="黑体" w:cs="黑体"/>
        <w:spacing w:val="-67"/>
        <w:position w:val="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12F9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2A1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1289</Words>
  <Characters>1313</Characters>
  <TotalTime>1</TotalTime>
  <ScaleCrop>false</ScaleCrop>
  <LinksUpToDate>false</LinksUpToDate>
  <CharactersWithSpaces>1387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2025-09-09T15:10:00Z</dcterms:created>
  <dc:creator>swt-723-jxm</dc:creator>
  <cp:lastModifiedBy>尤强</cp:lastModifiedBy>
  <dcterms:modified xsi:type="dcterms:W3CDTF">2025-09-09T07:14:42Z</dcterms:modified>
  <dc:title>内蒙古自治区商务厅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2025-09-09T15:12:56Z</vt:filetime>
  </property>
  <property fmtid="{D5CDD505-2E9C-101B-9397-08002B2CF9AE}" pid="4" name="KSOTemplateDocerSaveRecord">
    <vt:lpwstr>eyJoZGlkIjoiNTBlZjNjYThjMzExMjM3ZDg0NWU0MTk4MWJhYTFjZDciLCJ1c2VySWQiOiIyNjE4Mzc4NTUifQ==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D08B8487CB6B4E659EB8F500FB5CD1F6_12</vt:lpwstr>
  </property>
</Properties>
</file>