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3"/>
        <w:ind w:left="3761" w:right="3879"/>
        <w:jc w:val="center"/>
        <w:rPr>
          <w:rFonts w:ascii="微软雅黑" w:eastAsia="微软雅黑"/>
          <w:sz w:val="30"/>
        </w:rPr>
      </w:pPr>
      <w:r>
        <w:rPr>
          <w:rFonts w:hint="eastAsia" w:ascii="微软雅黑" w:eastAsia="微软雅黑"/>
          <w:sz w:val="30"/>
        </w:rPr>
        <w:t>城市综合执法领域基层政务公开标准目录</w:t>
      </w:r>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845"/>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424" w:type="dxa"/>
            <w:vMerge w:val="restart"/>
            <w:noWrap/>
          </w:tcPr>
          <w:p>
            <w:pPr>
              <w:pStyle w:val="10"/>
              <w:rPr>
                <w:rFonts w:ascii="微软雅黑"/>
                <w:sz w:val="18"/>
              </w:rPr>
            </w:pPr>
          </w:p>
          <w:p>
            <w:pPr>
              <w:pStyle w:val="10"/>
              <w:spacing w:before="12"/>
              <w:rPr>
                <w:rFonts w:ascii="微软雅黑"/>
                <w:sz w:val="17"/>
              </w:rPr>
            </w:pPr>
          </w:p>
          <w:p>
            <w:pPr>
              <w:pStyle w:val="10"/>
              <w:spacing w:line="324" w:lineRule="auto"/>
              <w:ind w:left="153" w:right="51"/>
              <w:rPr>
                <w:sz w:val="18"/>
              </w:rPr>
            </w:pPr>
            <w:r>
              <w:rPr>
                <w:sz w:val="18"/>
              </w:rPr>
              <w:t xml:space="preserve">序号 </w:t>
            </w:r>
          </w:p>
        </w:tc>
        <w:tc>
          <w:tcPr>
            <w:tcW w:w="2678" w:type="dxa"/>
            <w:gridSpan w:val="2"/>
            <w:noWrap/>
          </w:tcPr>
          <w:p>
            <w:pPr>
              <w:pStyle w:val="10"/>
              <w:rPr>
                <w:rFonts w:ascii="微软雅黑"/>
                <w:sz w:val="10"/>
              </w:rPr>
            </w:pPr>
          </w:p>
          <w:p>
            <w:pPr>
              <w:pStyle w:val="10"/>
              <w:ind w:left="945"/>
              <w:rPr>
                <w:sz w:val="18"/>
              </w:rPr>
            </w:pPr>
            <w:r>
              <w:rPr>
                <w:sz w:val="18"/>
              </w:rPr>
              <w:t xml:space="preserve">公开事项 </w:t>
            </w:r>
          </w:p>
        </w:tc>
        <w:tc>
          <w:tcPr>
            <w:tcW w:w="2116" w:type="dxa"/>
            <w:vMerge w:val="restart"/>
            <w:noWrap/>
          </w:tcPr>
          <w:p>
            <w:pPr>
              <w:pStyle w:val="10"/>
              <w:rPr>
                <w:rFonts w:ascii="微软雅黑"/>
                <w:sz w:val="18"/>
              </w:rPr>
            </w:pPr>
          </w:p>
          <w:p>
            <w:pPr>
              <w:pStyle w:val="10"/>
              <w:spacing w:before="2"/>
              <w:rPr>
                <w:rFonts w:ascii="微软雅黑"/>
                <w:sz w:val="26"/>
              </w:rPr>
            </w:pPr>
          </w:p>
          <w:p>
            <w:pPr>
              <w:pStyle w:val="10"/>
              <w:ind w:left="697"/>
              <w:rPr>
                <w:sz w:val="18"/>
              </w:rPr>
            </w:pPr>
            <w:r>
              <w:rPr>
                <w:sz w:val="18"/>
              </w:rPr>
              <w:t xml:space="preserve">公开内容 </w:t>
            </w:r>
          </w:p>
        </w:tc>
        <w:tc>
          <w:tcPr>
            <w:tcW w:w="1269" w:type="dxa"/>
            <w:vMerge w:val="restart"/>
            <w:noWrap/>
          </w:tcPr>
          <w:p>
            <w:pPr>
              <w:pStyle w:val="10"/>
              <w:rPr>
                <w:rFonts w:ascii="微软雅黑"/>
                <w:sz w:val="18"/>
              </w:rPr>
            </w:pPr>
          </w:p>
          <w:p>
            <w:pPr>
              <w:pStyle w:val="10"/>
              <w:spacing w:before="2"/>
              <w:rPr>
                <w:rFonts w:ascii="微软雅黑"/>
                <w:sz w:val="26"/>
              </w:rPr>
            </w:pPr>
          </w:p>
          <w:p>
            <w:pPr>
              <w:pStyle w:val="10"/>
              <w:ind w:left="274"/>
              <w:rPr>
                <w:sz w:val="18"/>
              </w:rPr>
            </w:pPr>
            <w:r>
              <w:rPr>
                <w:sz w:val="18"/>
              </w:rPr>
              <w:t xml:space="preserve">公开依据 </w:t>
            </w:r>
          </w:p>
        </w:tc>
        <w:tc>
          <w:tcPr>
            <w:tcW w:w="1132" w:type="dxa"/>
            <w:vMerge w:val="restart"/>
            <w:noWrap/>
          </w:tcPr>
          <w:p>
            <w:pPr>
              <w:pStyle w:val="10"/>
              <w:rPr>
                <w:rFonts w:ascii="微软雅黑"/>
                <w:sz w:val="18"/>
              </w:rPr>
            </w:pPr>
          </w:p>
          <w:p>
            <w:pPr>
              <w:pStyle w:val="10"/>
              <w:spacing w:before="12"/>
              <w:rPr>
                <w:rFonts w:ascii="微软雅黑"/>
                <w:sz w:val="17"/>
              </w:rPr>
            </w:pPr>
          </w:p>
          <w:p>
            <w:pPr>
              <w:pStyle w:val="10"/>
              <w:spacing w:line="324" w:lineRule="auto"/>
              <w:ind w:left="386" w:right="281"/>
              <w:rPr>
                <w:sz w:val="18"/>
              </w:rPr>
            </w:pPr>
            <w:r>
              <w:rPr>
                <w:sz w:val="18"/>
              </w:rPr>
              <w:t xml:space="preserve">公开时限 </w:t>
            </w:r>
          </w:p>
        </w:tc>
        <w:tc>
          <w:tcPr>
            <w:tcW w:w="1027" w:type="dxa"/>
            <w:vMerge w:val="restart"/>
            <w:noWrap/>
          </w:tcPr>
          <w:p>
            <w:pPr>
              <w:pStyle w:val="10"/>
              <w:rPr>
                <w:rFonts w:ascii="微软雅黑"/>
                <w:sz w:val="18"/>
              </w:rPr>
            </w:pPr>
          </w:p>
          <w:p>
            <w:pPr>
              <w:pStyle w:val="10"/>
              <w:spacing w:before="12"/>
              <w:rPr>
                <w:rFonts w:ascii="微软雅黑"/>
                <w:sz w:val="17"/>
              </w:rPr>
            </w:pPr>
          </w:p>
          <w:p>
            <w:pPr>
              <w:pStyle w:val="10"/>
              <w:spacing w:line="324" w:lineRule="auto"/>
              <w:ind w:left="471" w:right="367"/>
              <w:rPr>
                <w:sz w:val="18"/>
              </w:rPr>
            </w:pPr>
            <w:r>
              <w:rPr>
                <w:sz w:val="18"/>
              </w:rPr>
              <w:t xml:space="preserve">公开主体 </w:t>
            </w:r>
          </w:p>
        </w:tc>
        <w:tc>
          <w:tcPr>
            <w:tcW w:w="3468" w:type="dxa"/>
            <w:vMerge w:val="restart"/>
            <w:noWrap/>
          </w:tcPr>
          <w:p>
            <w:pPr>
              <w:pStyle w:val="10"/>
              <w:rPr>
                <w:rFonts w:ascii="微软雅黑"/>
                <w:sz w:val="18"/>
              </w:rPr>
            </w:pPr>
          </w:p>
          <w:p>
            <w:pPr>
              <w:pStyle w:val="10"/>
              <w:spacing w:before="3"/>
              <w:rPr>
                <w:rFonts w:ascii="微软雅黑"/>
                <w:sz w:val="9"/>
              </w:rPr>
            </w:pPr>
          </w:p>
          <w:p>
            <w:pPr>
              <w:pStyle w:val="10"/>
              <w:ind w:left="112" w:right="-15"/>
              <w:rPr>
                <w:sz w:val="18"/>
              </w:rPr>
            </w:pPr>
            <w:r>
              <w:rPr>
                <w:sz w:val="18"/>
              </w:rPr>
              <w:t>公开渠道和载体</w:t>
            </w:r>
          </w:p>
          <w:p>
            <w:pPr>
              <w:pStyle w:val="10"/>
              <w:spacing w:before="82" w:line="324" w:lineRule="auto"/>
              <w:ind w:left="112" w:right="183"/>
              <w:rPr>
                <w:sz w:val="18"/>
              </w:rPr>
            </w:pPr>
            <w:r>
              <w:rPr>
                <w:sz w:val="18"/>
              </w:rPr>
              <w:t xml:space="preserve">（“■”表示必选项，“□”表示可选项） </w:t>
            </w:r>
          </w:p>
        </w:tc>
        <w:tc>
          <w:tcPr>
            <w:tcW w:w="1212" w:type="dxa"/>
            <w:gridSpan w:val="2"/>
            <w:noWrap/>
          </w:tcPr>
          <w:p>
            <w:pPr>
              <w:pStyle w:val="10"/>
              <w:rPr>
                <w:rFonts w:ascii="微软雅黑"/>
                <w:sz w:val="10"/>
              </w:rPr>
            </w:pPr>
          </w:p>
          <w:p>
            <w:pPr>
              <w:pStyle w:val="10"/>
              <w:ind w:left="250"/>
              <w:rPr>
                <w:sz w:val="18"/>
              </w:rPr>
            </w:pPr>
            <w:r>
              <w:rPr>
                <w:sz w:val="18"/>
              </w:rPr>
              <w:t xml:space="preserve">公开对象 </w:t>
            </w:r>
          </w:p>
        </w:tc>
        <w:tc>
          <w:tcPr>
            <w:tcW w:w="1234" w:type="dxa"/>
            <w:gridSpan w:val="2"/>
            <w:noWrap/>
          </w:tcPr>
          <w:p>
            <w:pPr>
              <w:pStyle w:val="10"/>
              <w:rPr>
                <w:rFonts w:ascii="微软雅黑"/>
                <w:sz w:val="10"/>
              </w:rPr>
            </w:pPr>
          </w:p>
          <w:p>
            <w:pPr>
              <w:pStyle w:val="10"/>
              <w:ind w:left="264"/>
              <w:rPr>
                <w:sz w:val="18"/>
              </w:rPr>
            </w:pPr>
            <w:r>
              <w:rPr>
                <w:sz w:val="18"/>
              </w:rPr>
              <w:t xml:space="preserve">公开方式 </w:t>
            </w:r>
          </w:p>
        </w:tc>
        <w:tc>
          <w:tcPr>
            <w:tcW w:w="1092" w:type="dxa"/>
            <w:gridSpan w:val="2"/>
            <w:noWrap/>
          </w:tcPr>
          <w:p>
            <w:pPr>
              <w:pStyle w:val="10"/>
              <w:rPr>
                <w:rFonts w:ascii="微软雅黑"/>
                <w:sz w:val="10"/>
              </w:rPr>
            </w:pPr>
          </w:p>
          <w:p>
            <w:pPr>
              <w:pStyle w:val="10"/>
              <w:ind w:left="191"/>
              <w:rPr>
                <w:sz w:val="18"/>
              </w:rPr>
            </w:pPr>
            <w:r>
              <w:rPr>
                <w:sz w:val="18"/>
              </w:rPr>
              <w:t xml:space="preserve">公开层级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424" w:type="dxa"/>
            <w:vMerge w:val="continue"/>
            <w:tcBorders>
              <w:top w:val="nil"/>
            </w:tcBorders>
            <w:noWrap/>
          </w:tcPr>
          <w:p>
            <w:pPr>
              <w:rPr>
                <w:sz w:val="2"/>
                <w:szCs w:val="2"/>
              </w:rPr>
            </w:pPr>
          </w:p>
        </w:tc>
        <w:tc>
          <w:tcPr>
            <w:tcW w:w="845" w:type="dxa"/>
            <w:noWrap/>
          </w:tcPr>
          <w:p>
            <w:pPr>
              <w:pStyle w:val="10"/>
              <w:spacing w:before="4"/>
              <w:rPr>
                <w:rFonts w:ascii="微软雅黑"/>
                <w:sz w:val="19"/>
              </w:rPr>
            </w:pPr>
          </w:p>
          <w:p>
            <w:pPr>
              <w:pStyle w:val="10"/>
              <w:spacing w:line="324" w:lineRule="auto"/>
              <w:ind w:left="300" w:right="110" w:hanging="183"/>
              <w:rPr>
                <w:sz w:val="18"/>
              </w:rPr>
            </w:pPr>
            <w:r>
              <w:rPr>
                <w:sz w:val="18"/>
              </w:rPr>
              <w:t>一级</w:t>
            </w:r>
          </w:p>
          <w:p>
            <w:pPr>
              <w:pStyle w:val="10"/>
              <w:spacing w:line="324" w:lineRule="auto"/>
              <w:ind w:left="300" w:right="110" w:hanging="183"/>
              <w:rPr>
                <w:sz w:val="18"/>
              </w:rPr>
            </w:pPr>
            <w:r>
              <w:rPr>
                <w:sz w:val="18"/>
              </w:rPr>
              <w:t xml:space="preserve">事项 </w:t>
            </w:r>
          </w:p>
        </w:tc>
        <w:tc>
          <w:tcPr>
            <w:tcW w:w="1833" w:type="dxa"/>
            <w:noWrap/>
          </w:tcPr>
          <w:p>
            <w:pPr>
              <w:pStyle w:val="10"/>
              <w:rPr>
                <w:rFonts w:ascii="微软雅黑"/>
                <w:sz w:val="18"/>
              </w:rPr>
            </w:pPr>
          </w:p>
          <w:p>
            <w:pPr>
              <w:pStyle w:val="10"/>
              <w:spacing w:before="13"/>
              <w:rPr>
                <w:rFonts w:ascii="微软雅黑"/>
                <w:sz w:val="9"/>
              </w:rPr>
            </w:pPr>
          </w:p>
          <w:p>
            <w:pPr>
              <w:pStyle w:val="10"/>
              <w:ind w:left="557"/>
              <w:rPr>
                <w:sz w:val="18"/>
              </w:rPr>
            </w:pPr>
            <w:r>
              <w:rPr>
                <w:sz w:val="18"/>
              </w:rPr>
              <w:t xml:space="preserve">二级事项 </w:t>
            </w:r>
          </w:p>
        </w:tc>
        <w:tc>
          <w:tcPr>
            <w:tcW w:w="2116" w:type="dxa"/>
            <w:vMerge w:val="continue"/>
            <w:tcBorders>
              <w:top w:val="nil"/>
            </w:tcBorders>
            <w:noWrap/>
          </w:tcPr>
          <w:p>
            <w:pPr>
              <w:rPr>
                <w:sz w:val="2"/>
                <w:szCs w:val="2"/>
              </w:rPr>
            </w:pPr>
          </w:p>
        </w:tc>
        <w:tc>
          <w:tcPr>
            <w:tcW w:w="1269" w:type="dxa"/>
            <w:vMerge w:val="continue"/>
            <w:tcBorders>
              <w:top w:val="nil"/>
            </w:tcBorders>
            <w:noWrap/>
          </w:tcPr>
          <w:p>
            <w:pPr>
              <w:rPr>
                <w:sz w:val="2"/>
                <w:szCs w:val="2"/>
              </w:rPr>
            </w:pPr>
          </w:p>
        </w:tc>
        <w:tc>
          <w:tcPr>
            <w:tcW w:w="1132" w:type="dxa"/>
            <w:vMerge w:val="continue"/>
            <w:tcBorders>
              <w:top w:val="nil"/>
            </w:tcBorders>
            <w:noWrap/>
          </w:tcPr>
          <w:p>
            <w:pPr>
              <w:rPr>
                <w:sz w:val="2"/>
                <w:szCs w:val="2"/>
              </w:rPr>
            </w:pPr>
          </w:p>
        </w:tc>
        <w:tc>
          <w:tcPr>
            <w:tcW w:w="1027" w:type="dxa"/>
            <w:vMerge w:val="continue"/>
            <w:tcBorders>
              <w:top w:val="nil"/>
            </w:tcBorders>
            <w:noWrap/>
          </w:tcPr>
          <w:p>
            <w:pPr>
              <w:rPr>
                <w:sz w:val="2"/>
                <w:szCs w:val="2"/>
              </w:rPr>
            </w:pPr>
          </w:p>
        </w:tc>
        <w:tc>
          <w:tcPr>
            <w:tcW w:w="3468" w:type="dxa"/>
            <w:vMerge w:val="continue"/>
            <w:tcBorders>
              <w:top w:val="nil"/>
            </w:tcBorders>
            <w:noWrap/>
          </w:tcPr>
          <w:p>
            <w:pPr>
              <w:rPr>
                <w:sz w:val="2"/>
                <w:szCs w:val="2"/>
              </w:rPr>
            </w:pPr>
          </w:p>
        </w:tc>
        <w:tc>
          <w:tcPr>
            <w:tcW w:w="654" w:type="dxa"/>
            <w:noWrap/>
          </w:tcPr>
          <w:p>
            <w:pPr>
              <w:pStyle w:val="10"/>
              <w:spacing w:before="4"/>
              <w:rPr>
                <w:rFonts w:ascii="微软雅黑"/>
                <w:sz w:val="19"/>
              </w:rPr>
            </w:pPr>
          </w:p>
          <w:p>
            <w:pPr>
              <w:pStyle w:val="10"/>
              <w:spacing w:line="324" w:lineRule="auto"/>
              <w:ind w:left="243" w:right="128" w:hanging="92"/>
              <w:rPr>
                <w:sz w:val="18"/>
              </w:rPr>
            </w:pPr>
            <w:r>
              <w:rPr>
                <w:sz w:val="18"/>
              </w:rPr>
              <w:t xml:space="preserve">全社会 </w:t>
            </w:r>
          </w:p>
        </w:tc>
        <w:tc>
          <w:tcPr>
            <w:tcW w:w="558" w:type="dxa"/>
            <w:noWrap/>
          </w:tcPr>
          <w:p>
            <w:pPr>
              <w:pStyle w:val="10"/>
              <w:spacing w:before="43" w:line="324" w:lineRule="auto"/>
              <w:ind w:left="196" w:right="169"/>
              <w:jc w:val="both"/>
              <w:rPr>
                <w:sz w:val="18"/>
              </w:rPr>
            </w:pPr>
            <w:r>
              <w:rPr>
                <w:sz w:val="18"/>
              </w:rPr>
              <w:t>特定群</w:t>
            </w:r>
          </w:p>
          <w:p>
            <w:pPr>
              <w:pStyle w:val="10"/>
              <w:spacing w:before="2"/>
              <w:ind w:left="196"/>
              <w:rPr>
                <w:sz w:val="18"/>
              </w:rPr>
            </w:pPr>
            <w:r>
              <w:rPr>
                <w:sz w:val="18"/>
              </w:rPr>
              <w:t xml:space="preserve">体 </w:t>
            </w:r>
          </w:p>
        </w:tc>
        <w:tc>
          <w:tcPr>
            <w:tcW w:w="556" w:type="dxa"/>
            <w:noWrap/>
          </w:tcPr>
          <w:p>
            <w:pPr>
              <w:pStyle w:val="10"/>
              <w:spacing w:before="4"/>
              <w:rPr>
                <w:rFonts w:ascii="微软雅黑"/>
                <w:sz w:val="19"/>
              </w:rPr>
            </w:pPr>
          </w:p>
          <w:p>
            <w:pPr>
              <w:pStyle w:val="10"/>
              <w:spacing w:line="324" w:lineRule="auto"/>
              <w:ind w:left="197" w:right="76"/>
              <w:rPr>
                <w:sz w:val="18"/>
              </w:rPr>
            </w:pPr>
            <w:r>
              <w:rPr>
                <w:sz w:val="18"/>
              </w:rPr>
              <w:t xml:space="preserve">主动 </w:t>
            </w:r>
          </w:p>
        </w:tc>
        <w:tc>
          <w:tcPr>
            <w:tcW w:w="678" w:type="dxa"/>
            <w:noWrap/>
          </w:tcPr>
          <w:p>
            <w:pPr>
              <w:pStyle w:val="10"/>
              <w:spacing w:before="4"/>
              <w:rPr>
                <w:rFonts w:ascii="微软雅黑"/>
                <w:sz w:val="19"/>
              </w:rPr>
            </w:pPr>
          </w:p>
          <w:p>
            <w:pPr>
              <w:pStyle w:val="10"/>
              <w:spacing w:line="324" w:lineRule="auto"/>
              <w:ind w:left="256" w:right="139" w:hanging="92"/>
              <w:rPr>
                <w:sz w:val="18"/>
              </w:rPr>
            </w:pPr>
            <w:r>
              <w:rPr>
                <w:sz w:val="18"/>
              </w:rPr>
              <w:t xml:space="preserve">依申请 </w:t>
            </w:r>
          </w:p>
        </w:tc>
        <w:tc>
          <w:tcPr>
            <w:tcW w:w="515" w:type="dxa"/>
            <w:noWrap/>
          </w:tcPr>
          <w:p>
            <w:pPr>
              <w:pStyle w:val="10"/>
              <w:spacing w:before="4"/>
              <w:rPr>
                <w:rFonts w:ascii="微软雅黑"/>
                <w:sz w:val="19"/>
              </w:rPr>
            </w:pPr>
          </w:p>
          <w:p>
            <w:pPr>
              <w:pStyle w:val="10"/>
              <w:spacing w:line="324" w:lineRule="auto"/>
              <w:ind w:left="175" w:right="57"/>
              <w:rPr>
                <w:sz w:val="18"/>
              </w:rPr>
            </w:pPr>
            <w:r>
              <w:rPr>
                <w:sz w:val="18"/>
              </w:rPr>
              <w:t xml:space="preserve">县级 </w:t>
            </w:r>
          </w:p>
        </w:tc>
        <w:tc>
          <w:tcPr>
            <w:tcW w:w="577" w:type="dxa"/>
            <w:noWrap/>
          </w:tcPr>
          <w:p>
            <w:pPr>
              <w:pStyle w:val="10"/>
              <w:spacing w:before="4"/>
              <w:rPr>
                <w:rFonts w:ascii="微软雅黑"/>
                <w:sz w:val="19"/>
              </w:rPr>
            </w:pPr>
          </w:p>
          <w:p>
            <w:pPr>
              <w:pStyle w:val="10"/>
              <w:spacing w:line="324" w:lineRule="auto"/>
              <w:ind w:left="119" w:right="-15"/>
              <w:rPr>
                <w:sz w:val="18"/>
              </w:rPr>
            </w:pPr>
            <w:r>
              <w:rPr>
                <w:sz w:val="18"/>
              </w:rPr>
              <w:t xml:space="preserve">乡、村级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6" w:hRule="atLeast"/>
        </w:trPr>
        <w:tc>
          <w:tcPr>
            <w:tcW w:w="424" w:type="dxa"/>
            <w:noWrap/>
            <w:vAlign w:val="center"/>
          </w:tcPr>
          <w:p>
            <w:pPr>
              <w:pStyle w:val="10"/>
              <w:ind w:right="186"/>
              <w:jc w:val="right"/>
              <w:rPr>
                <w:sz w:val="18"/>
              </w:rPr>
            </w:pPr>
            <w:r>
              <w:rPr>
                <w:rFonts w:hint="eastAsia"/>
                <w:sz w:val="18"/>
              </w:rPr>
              <w:t>1</w:t>
            </w:r>
          </w:p>
          <w:p>
            <w:pPr>
              <w:pStyle w:val="10"/>
              <w:ind w:right="636"/>
              <w:jc w:val="right"/>
              <w:rPr>
                <w:sz w:val="18"/>
              </w:rPr>
            </w:pPr>
          </w:p>
        </w:tc>
        <w:tc>
          <w:tcPr>
            <w:tcW w:w="845" w:type="dxa"/>
            <w:noWrap/>
            <w:vAlign w:val="center"/>
          </w:tcPr>
          <w:p>
            <w:pPr>
              <w:pStyle w:val="10"/>
              <w:spacing w:before="1" w:line="324" w:lineRule="auto"/>
              <w:ind w:right="110"/>
              <w:jc w:val="center"/>
              <w:rPr>
                <w:sz w:val="18"/>
              </w:rPr>
            </w:pPr>
            <w:r>
              <w:rPr>
                <w:rFonts w:hint="eastAsia"/>
                <w:sz w:val="18"/>
              </w:rPr>
              <w:t>工程</w:t>
            </w:r>
          </w:p>
          <w:p>
            <w:pPr>
              <w:pStyle w:val="10"/>
              <w:spacing w:before="1" w:line="324" w:lineRule="auto"/>
              <w:ind w:right="110"/>
              <w:jc w:val="center"/>
              <w:rPr>
                <w:sz w:val="18"/>
              </w:rPr>
            </w:pPr>
            <w:r>
              <w:rPr>
                <w:rFonts w:hint="eastAsia"/>
                <w:sz w:val="18"/>
              </w:rPr>
              <w:t>管理</w:t>
            </w:r>
          </w:p>
        </w:tc>
        <w:tc>
          <w:tcPr>
            <w:tcW w:w="1833" w:type="dxa"/>
            <w:noWrap/>
            <w:vAlign w:val="center"/>
          </w:tcPr>
          <w:p>
            <w:pPr>
              <w:pStyle w:val="10"/>
              <w:spacing w:before="1" w:line="324" w:lineRule="auto"/>
              <w:ind w:right="180"/>
              <w:jc w:val="center"/>
              <w:rPr>
                <w:sz w:val="18"/>
              </w:rPr>
            </w:pPr>
            <w:r>
              <w:rPr>
                <w:rFonts w:hint="eastAsia"/>
                <w:sz w:val="18"/>
              </w:rPr>
              <w:t>聘用单位为申请人提供虚假注册材料</w:t>
            </w:r>
          </w:p>
        </w:tc>
        <w:tc>
          <w:tcPr>
            <w:tcW w:w="2116" w:type="dxa"/>
            <w:noWrap/>
            <w:vAlign w:val="center"/>
          </w:tcPr>
          <w:p>
            <w:pPr>
              <w:pStyle w:val="10"/>
              <w:spacing w:line="320" w:lineRule="exact"/>
              <w:rPr>
                <w:sz w:val="18"/>
              </w:rPr>
            </w:pPr>
            <w:r>
              <w:rPr>
                <w:rFonts w:hint="eastAsia"/>
                <w:sz w:val="18"/>
                <w:lang w:val="en-US"/>
              </w:rPr>
              <w:t>1.</w:t>
            </w:r>
            <w:r>
              <w:rPr>
                <w:sz w:val="18"/>
              </w:rPr>
              <w:t xml:space="preserve">机构职能、权责清 单、执法人员名单； </w:t>
            </w:r>
          </w:p>
          <w:p>
            <w:pPr>
              <w:pStyle w:val="10"/>
              <w:spacing w:line="320" w:lineRule="exact"/>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rPr>
                <w:sz w:val="18"/>
              </w:rPr>
            </w:pPr>
            <w:r>
              <w:rPr>
                <w:rFonts w:hint="eastAsia"/>
                <w:sz w:val="18"/>
                <w:lang w:val="en-US"/>
              </w:rPr>
              <w:t>3.</w:t>
            </w:r>
            <w:r>
              <w:rPr>
                <w:sz w:val="18"/>
              </w:rPr>
              <w:t xml:space="preserve">执法依据； </w:t>
            </w:r>
          </w:p>
          <w:p>
            <w:pPr>
              <w:pStyle w:val="10"/>
              <w:tabs>
                <w:tab w:val="left" w:pos="292"/>
              </w:tabs>
              <w:spacing w:line="320" w:lineRule="exact"/>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《注册造价工程师管理办法》</w:t>
            </w:r>
          </w:p>
        </w:tc>
        <w:tc>
          <w:tcPr>
            <w:tcW w:w="1132" w:type="dxa"/>
            <w:noWrap/>
            <w:vAlign w:val="center"/>
          </w:tcPr>
          <w:p>
            <w:pPr>
              <w:pStyle w:val="10"/>
              <w:spacing w:before="10"/>
              <w:jc w:val="both"/>
              <w:rPr>
                <w:rFonts w:ascii="微软雅黑"/>
                <w:sz w:val="9"/>
              </w:rPr>
            </w:pPr>
          </w:p>
          <w:p>
            <w:pPr>
              <w:pStyle w:val="10"/>
              <w:spacing w:line="320" w:lineRule="exact"/>
              <w:rPr>
                <w:sz w:val="18"/>
              </w:rPr>
            </w:pPr>
            <w:r>
              <w:rPr>
                <w:rFonts w:hint="eastAsia"/>
                <w:sz w:val="18"/>
                <w:lang w:val="en-US"/>
              </w:rPr>
              <w:t>1.</w:t>
            </w:r>
            <w:r>
              <w:rPr>
                <w:sz w:val="18"/>
              </w:rPr>
              <w:t xml:space="preserve">处罚决定内容：（动态调整）； </w:t>
            </w:r>
          </w:p>
          <w:p>
            <w:pPr>
              <w:pStyle w:val="10"/>
              <w:spacing w:line="320" w:lineRule="exact"/>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center"/>
              <w:rPr>
                <w:rFonts w:ascii="微软雅黑"/>
                <w:sz w:val="18"/>
              </w:rPr>
            </w:pPr>
          </w:p>
          <w:p>
            <w:pPr>
              <w:pStyle w:val="10"/>
              <w:jc w:val="center"/>
              <w:rPr>
                <w:rFonts w:ascii="微软雅黑"/>
                <w:sz w:val="18"/>
              </w:rPr>
            </w:pPr>
          </w:p>
          <w:p>
            <w:pPr>
              <w:pStyle w:val="10"/>
              <w:jc w:val="center"/>
              <w:rPr>
                <w:rFonts w:ascii="微软雅黑"/>
                <w:sz w:val="18"/>
              </w:rPr>
            </w:pPr>
          </w:p>
          <w:p>
            <w:pPr>
              <w:pStyle w:val="10"/>
              <w:jc w:val="center"/>
              <w:rPr>
                <w:rFonts w:ascii="微软雅黑"/>
                <w:sz w:val="18"/>
              </w:rPr>
            </w:pPr>
          </w:p>
          <w:p>
            <w:pPr>
              <w:pStyle w:val="10"/>
              <w:spacing w:before="15"/>
              <w:jc w:val="center"/>
              <w:rPr>
                <w:rFonts w:ascii="微软雅黑"/>
                <w:sz w:val="14"/>
              </w:rPr>
            </w:pPr>
          </w:p>
          <w:p>
            <w:pPr>
              <w:pStyle w:val="10"/>
              <w:ind w:right="-15"/>
              <w:jc w:val="center"/>
              <w:rPr>
                <w:sz w:val="18"/>
              </w:rPr>
            </w:pPr>
          </w:p>
        </w:tc>
        <w:tc>
          <w:tcPr>
            <w:tcW w:w="556" w:type="dxa"/>
            <w:noWrap/>
            <w:vAlign w:val="center"/>
          </w:tcPr>
          <w:p>
            <w:pPr>
              <w:pStyle w:val="10"/>
              <w:jc w:val="center"/>
              <w:rPr>
                <w:rFonts w:ascii="Arial" w:hAnsi="Arial"/>
                <w:sz w:val="18"/>
              </w:rPr>
            </w:pPr>
            <w:r>
              <w:rPr>
                <w:rFonts w:ascii="Arial" w:hAnsi="Arial"/>
                <w:sz w:val="18"/>
              </w:rPr>
              <w:t>√</w:t>
            </w:r>
          </w:p>
        </w:tc>
        <w:tc>
          <w:tcPr>
            <w:tcW w:w="678" w:type="dxa"/>
            <w:noWrap/>
            <w:vAlign w:val="center"/>
          </w:tcPr>
          <w:p>
            <w:pPr>
              <w:pStyle w:val="10"/>
              <w:jc w:val="center"/>
              <w:rPr>
                <w:rFonts w:ascii="微软雅黑"/>
                <w:sz w:val="18"/>
              </w:rPr>
            </w:pPr>
          </w:p>
          <w:p>
            <w:pPr>
              <w:pStyle w:val="10"/>
              <w:jc w:val="center"/>
              <w:rPr>
                <w:rFonts w:ascii="微软雅黑"/>
                <w:sz w:val="18"/>
              </w:rPr>
            </w:pPr>
          </w:p>
          <w:p>
            <w:pPr>
              <w:pStyle w:val="10"/>
              <w:jc w:val="center"/>
              <w:rPr>
                <w:rFonts w:ascii="微软雅黑"/>
                <w:sz w:val="18"/>
              </w:rPr>
            </w:pPr>
          </w:p>
          <w:p>
            <w:pPr>
              <w:pStyle w:val="10"/>
              <w:jc w:val="center"/>
              <w:rPr>
                <w:rFonts w:ascii="微软雅黑"/>
                <w:sz w:val="18"/>
              </w:rPr>
            </w:pPr>
          </w:p>
          <w:p>
            <w:pPr>
              <w:pStyle w:val="10"/>
              <w:spacing w:before="15"/>
              <w:jc w:val="center"/>
              <w:rPr>
                <w:rFonts w:ascii="微软雅黑"/>
                <w:sz w:val="14"/>
              </w:rPr>
            </w:pPr>
          </w:p>
          <w:p>
            <w:pPr>
              <w:pStyle w:val="10"/>
              <w:ind w:right="48"/>
              <w:jc w:val="center"/>
              <w:rPr>
                <w:sz w:val="18"/>
              </w:rPr>
            </w:pPr>
          </w:p>
        </w:tc>
        <w:tc>
          <w:tcPr>
            <w:tcW w:w="515" w:type="dxa"/>
            <w:noWrap/>
            <w:vAlign w:val="center"/>
          </w:tcPr>
          <w:p>
            <w:pPr>
              <w:pStyle w:val="10"/>
              <w:jc w:val="center"/>
              <w:rPr>
                <w:rFonts w:ascii="Arial" w:hAnsi="Arial"/>
                <w:sz w:val="18"/>
              </w:rPr>
            </w:pPr>
            <w:r>
              <w:rPr>
                <w:rFonts w:ascii="Arial" w:hAnsi="Arial"/>
                <w:sz w:val="18"/>
              </w:rPr>
              <w:t>√</w:t>
            </w:r>
          </w:p>
        </w:tc>
        <w:tc>
          <w:tcPr>
            <w:tcW w:w="577" w:type="dxa"/>
            <w:noWrap/>
          </w:tcPr>
          <w:p>
            <w:pPr>
              <w:pStyle w:val="10"/>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24" w:type="dxa"/>
            <w:noWrap/>
            <w:vAlign w:val="center"/>
          </w:tcPr>
          <w:p>
            <w:pPr>
              <w:pStyle w:val="10"/>
              <w:ind w:right="186"/>
              <w:jc w:val="right"/>
              <w:rPr>
                <w:sz w:val="18"/>
              </w:rPr>
            </w:pPr>
            <w:r>
              <w:rPr>
                <w:rFonts w:hint="eastAsia"/>
                <w:sz w:val="18"/>
              </w:rPr>
              <w:t>2</w:t>
            </w:r>
          </w:p>
        </w:tc>
        <w:tc>
          <w:tcPr>
            <w:tcW w:w="845" w:type="dxa"/>
            <w:noWrap/>
            <w:vAlign w:val="center"/>
          </w:tcPr>
          <w:p>
            <w:pPr>
              <w:pStyle w:val="10"/>
              <w:spacing w:before="1" w:line="324" w:lineRule="auto"/>
              <w:ind w:right="110"/>
              <w:jc w:val="center"/>
              <w:rPr>
                <w:sz w:val="18"/>
              </w:rPr>
            </w:pPr>
            <w:r>
              <w:rPr>
                <w:rFonts w:hint="eastAsia"/>
                <w:sz w:val="18"/>
              </w:rPr>
              <w:t>工程</w:t>
            </w:r>
          </w:p>
          <w:p>
            <w:pPr>
              <w:pStyle w:val="10"/>
              <w:spacing w:before="1" w:line="324" w:lineRule="auto"/>
              <w:ind w:right="110"/>
              <w:jc w:val="center"/>
              <w:rPr>
                <w:sz w:val="18"/>
              </w:rPr>
            </w:pPr>
            <w:r>
              <w:rPr>
                <w:rFonts w:hint="eastAsia"/>
                <w:sz w:val="18"/>
              </w:rPr>
              <w:t>管理</w:t>
            </w:r>
          </w:p>
        </w:tc>
        <w:tc>
          <w:tcPr>
            <w:tcW w:w="1833" w:type="dxa"/>
            <w:noWrap/>
            <w:vAlign w:val="center"/>
          </w:tcPr>
          <w:p>
            <w:pPr>
              <w:pStyle w:val="10"/>
              <w:spacing w:before="1" w:line="324" w:lineRule="auto"/>
              <w:ind w:right="180"/>
              <w:jc w:val="center"/>
              <w:rPr>
                <w:sz w:val="18"/>
              </w:rPr>
            </w:pPr>
            <w:r>
              <w:rPr>
                <w:rFonts w:hint="eastAsia"/>
                <w:sz w:val="18"/>
              </w:rPr>
              <w:t>聘用单位为申请人提供虚假注册材料</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《注册房地产估价师管理办法》</w:t>
            </w:r>
          </w:p>
        </w:tc>
        <w:tc>
          <w:tcPr>
            <w:tcW w:w="1132" w:type="dxa"/>
            <w:noWrap/>
            <w:vAlign w:val="center"/>
          </w:tcPr>
          <w:p>
            <w:pPr>
              <w:pStyle w:val="10"/>
              <w:jc w:val="both"/>
              <w:rPr>
                <w:rFonts w:ascii="微软雅黑"/>
                <w:sz w:val="18"/>
              </w:rPr>
            </w:pPr>
          </w:p>
          <w:p>
            <w:pPr>
              <w:pStyle w:val="10"/>
              <w:spacing w:before="10"/>
              <w:jc w:val="both"/>
              <w:rPr>
                <w:rFonts w:ascii="微软雅黑"/>
                <w:sz w:val="9"/>
              </w:rPr>
            </w:pPr>
          </w:p>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 xml:space="preserve">    3</w:t>
            </w:r>
          </w:p>
        </w:tc>
        <w:tc>
          <w:tcPr>
            <w:tcW w:w="782" w:type="dxa"/>
            <w:noWrap/>
            <w:vAlign w:val="center"/>
          </w:tcPr>
          <w:p>
            <w:pPr>
              <w:pStyle w:val="10"/>
              <w:spacing w:before="1" w:line="324" w:lineRule="auto"/>
              <w:ind w:right="110"/>
              <w:jc w:val="center"/>
              <w:rPr>
                <w:sz w:val="18"/>
              </w:rPr>
            </w:pPr>
            <w:r>
              <w:rPr>
                <w:rFonts w:hint="eastAsia"/>
                <w:sz w:val="18"/>
              </w:rPr>
              <w:t>工程</w:t>
            </w:r>
          </w:p>
          <w:p>
            <w:pPr>
              <w:pStyle w:val="10"/>
              <w:spacing w:before="1" w:line="324" w:lineRule="auto"/>
              <w:ind w:right="110"/>
              <w:jc w:val="center"/>
              <w:rPr>
                <w:sz w:val="18"/>
              </w:rPr>
            </w:pPr>
            <w:r>
              <w:rPr>
                <w:rFonts w:hint="eastAsia"/>
                <w:sz w:val="18"/>
              </w:rPr>
              <w:t>管理</w:t>
            </w:r>
          </w:p>
        </w:tc>
        <w:tc>
          <w:tcPr>
            <w:tcW w:w="1833" w:type="dxa"/>
            <w:noWrap/>
            <w:vAlign w:val="center"/>
          </w:tcPr>
          <w:p>
            <w:pPr>
              <w:pStyle w:val="10"/>
              <w:spacing w:before="1" w:line="324" w:lineRule="auto"/>
              <w:ind w:right="180"/>
              <w:jc w:val="both"/>
              <w:rPr>
                <w:sz w:val="18"/>
              </w:rPr>
            </w:pPr>
            <w:r>
              <w:rPr>
                <w:rFonts w:hint="eastAsia"/>
                <w:sz w:val="18"/>
              </w:rPr>
              <w:t>聘用单位为申请人提供虚假注册材料</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《中华人民共和国注册建筑师条例实施细则》</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仿宋" w:hAnsi="仿宋" w:eastAsia="仿宋"/>
                <w:sz w:val="18"/>
              </w:rPr>
            </w:pPr>
            <w:r>
              <w:rPr>
                <w:rFonts w:hint="eastAsia" w:ascii="仿宋" w:hAnsi="仿宋" w:eastAsia="仿宋"/>
                <w:sz w:val="18"/>
              </w:rPr>
              <w:t>4</w:t>
            </w:r>
          </w:p>
        </w:tc>
        <w:tc>
          <w:tcPr>
            <w:tcW w:w="782" w:type="dxa"/>
            <w:noWrap/>
            <w:vAlign w:val="center"/>
          </w:tcPr>
          <w:p>
            <w:pPr>
              <w:pStyle w:val="10"/>
              <w:jc w:val="center"/>
              <w:rPr>
                <w:sz w:val="18"/>
              </w:rPr>
            </w:pPr>
            <w:r>
              <w:rPr>
                <w:rFonts w:hint="eastAsia"/>
                <w:sz w:val="18"/>
              </w:rPr>
              <w:t>工程</w:t>
            </w:r>
          </w:p>
          <w:p>
            <w:pPr>
              <w:pStyle w:val="10"/>
              <w:jc w:val="center"/>
              <w:rPr>
                <w:rFonts w:ascii="微软雅黑"/>
                <w:sz w:val="18"/>
              </w:rPr>
            </w:pPr>
            <w:r>
              <w:rPr>
                <w:rFonts w:hint="eastAsia"/>
                <w:sz w:val="18"/>
              </w:rPr>
              <w:t>管理</w:t>
            </w:r>
          </w:p>
        </w:tc>
        <w:tc>
          <w:tcPr>
            <w:tcW w:w="1833" w:type="dxa"/>
            <w:noWrap/>
            <w:vAlign w:val="center"/>
          </w:tcPr>
          <w:p>
            <w:pPr>
              <w:pStyle w:val="10"/>
              <w:jc w:val="both"/>
              <w:rPr>
                <w:rFonts w:ascii="微软雅黑"/>
                <w:sz w:val="18"/>
              </w:rPr>
            </w:pPr>
            <w:r>
              <w:rPr>
                <w:rFonts w:hint="eastAsia" w:ascii="微软雅黑"/>
                <w:sz w:val="18"/>
              </w:rPr>
              <w:t>将拆除工程发包给不具有相应资质等级的施工单位</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仿宋" w:hAnsi="仿宋" w:eastAsia="仿宋"/>
                <w:sz w:val="18"/>
              </w:rPr>
            </w:pPr>
            <w:r>
              <w:rPr>
                <w:rFonts w:hint="eastAsia" w:ascii="仿宋" w:hAnsi="仿宋" w:eastAsia="仿宋"/>
                <w:sz w:val="18"/>
              </w:rPr>
              <w:t>5</w:t>
            </w:r>
          </w:p>
        </w:tc>
        <w:tc>
          <w:tcPr>
            <w:tcW w:w="782" w:type="dxa"/>
            <w:noWrap/>
            <w:vAlign w:val="center"/>
          </w:tcPr>
          <w:p>
            <w:pPr>
              <w:pStyle w:val="10"/>
              <w:jc w:val="center"/>
              <w:rPr>
                <w:sz w:val="18"/>
              </w:rPr>
            </w:pPr>
            <w:r>
              <w:rPr>
                <w:rFonts w:hint="eastAsia"/>
                <w:sz w:val="18"/>
              </w:rPr>
              <w:t>房地产</w:t>
            </w:r>
          </w:p>
          <w:p>
            <w:pPr>
              <w:pStyle w:val="10"/>
              <w:jc w:val="center"/>
              <w:rPr>
                <w:rFonts w:ascii="微软雅黑"/>
                <w:sz w:val="18"/>
              </w:rPr>
            </w:pPr>
            <w:r>
              <w:rPr>
                <w:rFonts w:hint="eastAsia"/>
                <w:sz w:val="18"/>
              </w:rPr>
              <w:t>管理</w:t>
            </w:r>
          </w:p>
        </w:tc>
        <w:tc>
          <w:tcPr>
            <w:tcW w:w="1833" w:type="dxa"/>
            <w:noWrap/>
            <w:vAlign w:val="center"/>
          </w:tcPr>
          <w:p>
            <w:pPr>
              <w:pStyle w:val="10"/>
              <w:jc w:val="both"/>
              <w:rPr>
                <w:rFonts w:ascii="微软雅黑"/>
                <w:sz w:val="18"/>
              </w:rPr>
            </w:pPr>
            <w:r>
              <w:rPr>
                <w:rFonts w:hint="eastAsia" w:ascii="微软雅黑"/>
                <w:sz w:val="18"/>
              </w:rPr>
              <w:t>未取得载明房产测绘业务的《测绘资格证书》从事房产测绘业务以及承担房产测绘任务超出《测绘资格证书》所规定的房产测绘业务范围、作业限额</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《房产测绘管理办法》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6</w:t>
            </w:r>
          </w:p>
        </w:tc>
        <w:tc>
          <w:tcPr>
            <w:tcW w:w="782" w:type="dxa"/>
            <w:noWrap/>
            <w:vAlign w:val="center"/>
          </w:tcPr>
          <w:p>
            <w:pPr>
              <w:pStyle w:val="10"/>
              <w:spacing w:before="1" w:line="324" w:lineRule="auto"/>
              <w:ind w:right="110"/>
              <w:jc w:val="center"/>
              <w:rPr>
                <w:sz w:val="18"/>
              </w:rPr>
            </w:pPr>
            <w:r>
              <w:rPr>
                <w:rFonts w:hint="eastAsia"/>
                <w:sz w:val="18"/>
              </w:rPr>
              <w:t>房地产管理</w:t>
            </w:r>
          </w:p>
        </w:tc>
        <w:tc>
          <w:tcPr>
            <w:tcW w:w="1833" w:type="dxa"/>
            <w:noWrap/>
            <w:vAlign w:val="center"/>
          </w:tcPr>
          <w:p>
            <w:pPr>
              <w:pStyle w:val="10"/>
              <w:spacing w:before="1" w:line="324" w:lineRule="auto"/>
              <w:ind w:right="180"/>
              <w:jc w:val="both"/>
              <w:rPr>
                <w:sz w:val="18"/>
              </w:rPr>
            </w:pPr>
            <w:r>
              <w:rPr>
                <w:rFonts w:hint="eastAsia"/>
                <w:sz w:val="18"/>
              </w:rPr>
              <w:t>房地产估价机构及其估价人员应当回避未回避</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《房地产估价机构管理办法》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未对超过一定规模的危大工程专项施工方案进行专家论证；未根据专家论证报告对超过一定规模的危大</w:t>
            </w:r>
            <w:r>
              <w:rPr>
                <w:rFonts w:ascii="微软雅黑"/>
                <w:sz w:val="18"/>
              </w:rPr>
              <w:t xml:space="preserve"> 工程专项施工方案进行修改或者未按照本规定重新组织专家论证；未严格按照专项施工方案组织施工，或者擅自修改专项施工方案的的建筑施工企业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《危险性较大的分部分项工程安全管理规定》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8</w:t>
            </w:r>
          </w:p>
        </w:tc>
        <w:tc>
          <w:tcPr>
            <w:tcW w:w="782" w:type="dxa"/>
            <w:noWrap/>
            <w:vAlign w:val="center"/>
          </w:tcPr>
          <w:p>
            <w:pPr>
              <w:pStyle w:val="10"/>
              <w:jc w:val="center"/>
              <w:rPr>
                <w:rFonts w:ascii="微软雅黑"/>
                <w:sz w:val="18"/>
              </w:rPr>
            </w:pPr>
          </w:p>
        </w:tc>
        <w:tc>
          <w:tcPr>
            <w:tcW w:w="1833" w:type="dxa"/>
            <w:noWrap/>
            <w:vAlign w:val="center"/>
          </w:tcPr>
          <w:p>
            <w:pPr>
              <w:pStyle w:val="10"/>
              <w:jc w:val="both"/>
              <w:rPr>
                <w:rFonts w:ascii="微软雅黑"/>
                <w:sz w:val="18"/>
              </w:rPr>
            </w:pPr>
            <w:r>
              <w:rPr>
                <w:rFonts w:hint="eastAsia" w:ascii="微软雅黑"/>
                <w:sz w:val="18"/>
              </w:rPr>
              <w:t>未按规定编制并审核危大工程专项施工方案的建筑施工企业的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《危险性较大的分部分项工程安全管理规定》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8" w:hRule="atLeast"/>
        </w:trPr>
        <w:tc>
          <w:tcPr>
            <w:tcW w:w="487" w:type="dxa"/>
            <w:noWrap/>
            <w:vAlign w:val="center"/>
          </w:tcPr>
          <w:p>
            <w:pPr>
              <w:pStyle w:val="10"/>
              <w:ind w:right="276"/>
              <w:jc w:val="center"/>
              <w:rPr>
                <w:sz w:val="18"/>
              </w:rPr>
            </w:pPr>
            <w:r>
              <w:rPr>
                <w:rFonts w:hint="eastAsia"/>
                <w:sz w:val="18"/>
              </w:rPr>
              <w:t>9</w:t>
            </w:r>
          </w:p>
        </w:tc>
        <w:tc>
          <w:tcPr>
            <w:tcW w:w="782" w:type="dxa"/>
            <w:noWrap/>
            <w:vAlign w:val="center"/>
          </w:tcPr>
          <w:p>
            <w:pPr>
              <w:pStyle w:val="10"/>
              <w:spacing w:before="1" w:line="324" w:lineRule="auto"/>
              <w:ind w:right="110"/>
              <w:jc w:val="center"/>
              <w:rPr>
                <w:sz w:val="18"/>
              </w:rPr>
            </w:pPr>
            <w:r>
              <w:rPr>
                <w:rFonts w:hint="eastAsia"/>
                <w:sz w:val="18"/>
              </w:rPr>
              <w:t>建筑企业管理</w:t>
            </w:r>
          </w:p>
        </w:tc>
        <w:tc>
          <w:tcPr>
            <w:tcW w:w="1833" w:type="dxa"/>
            <w:noWrap/>
            <w:vAlign w:val="center"/>
          </w:tcPr>
          <w:p>
            <w:pPr>
              <w:pStyle w:val="10"/>
              <w:spacing w:before="1" w:line="324" w:lineRule="auto"/>
              <w:ind w:right="180"/>
              <w:jc w:val="both"/>
              <w:rPr>
                <w:sz w:val="18"/>
              </w:rPr>
            </w:pPr>
            <w:r>
              <w:rPr>
                <w:rFonts w:hint="eastAsia"/>
                <w:sz w:val="18"/>
              </w:rPr>
              <w:t>发生重大安全事故的建筑施工企业的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《建筑施工企业安全生产许可证管理规定》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6" w:hRule="atLeast"/>
        </w:trPr>
        <w:tc>
          <w:tcPr>
            <w:tcW w:w="487" w:type="dxa"/>
            <w:noWrap/>
            <w:vAlign w:val="center"/>
          </w:tcPr>
          <w:p>
            <w:pPr>
              <w:pStyle w:val="10"/>
              <w:jc w:val="center"/>
              <w:rPr>
                <w:rFonts w:ascii="微软雅黑"/>
                <w:sz w:val="18"/>
              </w:rPr>
            </w:pPr>
            <w:r>
              <w:rPr>
                <w:rFonts w:hint="eastAsia" w:ascii="微软雅黑"/>
                <w:sz w:val="18"/>
              </w:rPr>
              <w:t>10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注册造价工程师或者其聘用单位未按照要求提供造价工程师信用档案信息</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《注册造价工程师管理办法》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11</w:t>
            </w:r>
          </w:p>
        </w:tc>
        <w:tc>
          <w:tcPr>
            <w:tcW w:w="782" w:type="dxa"/>
            <w:noWrap/>
            <w:vAlign w:val="center"/>
          </w:tcPr>
          <w:p>
            <w:pPr>
              <w:pStyle w:val="10"/>
              <w:spacing w:before="1" w:line="324" w:lineRule="auto"/>
              <w:ind w:right="110"/>
              <w:jc w:val="center"/>
              <w:rPr>
                <w:sz w:val="18"/>
              </w:rPr>
            </w:pPr>
          </w:p>
        </w:tc>
        <w:tc>
          <w:tcPr>
            <w:tcW w:w="1833" w:type="dxa"/>
            <w:noWrap/>
            <w:vAlign w:val="center"/>
          </w:tcPr>
          <w:p>
            <w:pPr>
              <w:pStyle w:val="10"/>
              <w:jc w:val="both"/>
              <w:rPr>
                <w:rFonts w:ascii="微软雅黑"/>
                <w:sz w:val="18"/>
              </w:rPr>
            </w:pPr>
            <w:r>
              <w:rPr>
                <w:rFonts w:hint="eastAsia" w:ascii="微软雅黑"/>
                <w:sz w:val="18"/>
              </w:rPr>
              <w:t>注册造价工程师不履行注册造价工程师义务；在执业过程中，索贿、</w:t>
            </w:r>
            <w:r>
              <w:rPr>
                <w:rFonts w:ascii="微软雅黑"/>
                <w:sz w:val="18"/>
              </w:rPr>
              <w:t xml:space="preserve"> 受贿或者谋取合同约定费用外的其 他利益；在执业过程中实施商业贿 赂；签署有虚假记载、误导性陈述的 工程造价成果文件；以个人名义承接 工程造价业务；允许他人以自己名义 从事工程造价业务；同时在两个或者 两个以上单位执业；涂改、倒卖、出 租、出借或者以其他形式非法转让注 册证书或者执业印章；法律、法规、 规章禁止的其他行为</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《注册造价工程师管理办法》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违反本办法规定，未办理变更注册而继续执业的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《注册造价工程师管理办法》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13</w:t>
            </w:r>
          </w:p>
        </w:tc>
        <w:tc>
          <w:tcPr>
            <w:tcW w:w="782" w:type="dxa"/>
            <w:noWrap/>
            <w:vAlign w:val="center"/>
          </w:tcPr>
          <w:p>
            <w:pPr>
              <w:pStyle w:val="10"/>
              <w:jc w:val="center"/>
              <w:rPr>
                <w:rFonts w:ascii="微软雅黑"/>
                <w:sz w:val="18"/>
              </w:rPr>
            </w:pPr>
            <w:r>
              <w:rPr>
                <w:rFonts w:hint="eastAsia" w:ascii="微软雅黑"/>
                <w:sz w:val="18"/>
              </w:rPr>
              <w:t>工程</w:t>
            </w:r>
          </w:p>
          <w:p>
            <w:pPr>
              <w:pStyle w:val="10"/>
              <w:spacing w:before="1" w:line="324" w:lineRule="auto"/>
              <w:ind w:right="110"/>
              <w:jc w:val="center"/>
              <w:rPr>
                <w:sz w:val="18"/>
              </w:rPr>
            </w:pPr>
            <w:r>
              <w:rPr>
                <w:rFonts w:hint="eastAsia" w:ascii="微软雅黑"/>
                <w:sz w:val="18"/>
              </w:rPr>
              <w:t>管理</w:t>
            </w:r>
          </w:p>
        </w:tc>
        <w:tc>
          <w:tcPr>
            <w:tcW w:w="1833" w:type="dxa"/>
            <w:noWrap/>
            <w:vAlign w:val="center"/>
          </w:tcPr>
          <w:p>
            <w:pPr>
              <w:pStyle w:val="10"/>
              <w:spacing w:before="1" w:line="324" w:lineRule="auto"/>
              <w:ind w:right="180"/>
              <w:jc w:val="both"/>
              <w:rPr>
                <w:sz w:val="18"/>
              </w:rPr>
            </w:pPr>
            <w:r>
              <w:rPr>
                <w:rFonts w:hint="eastAsia"/>
                <w:sz w:val="18"/>
              </w:rPr>
              <w:t>违反本办法规定，未经注册而以注册造价工程师的名义从事工程造价活动的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《注册造价工程师管理办法》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以欺骗、贿赂等不正当手段取得造价工程师注册的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《注册造价工程师管理办法》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隐瞒有关情况或者提供虚假材料申请造价工程师注册的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《注册造价工程师管理办法》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16</w:t>
            </w:r>
          </w:p>
        </w:tc>
        <w:tc>
          <w:tcPr>
            <w:tcW w:w="782" w:type="dxa"/>
            <w:noWrap/>
            <w:vAlign w:val="center"/>
          </w:tcPr>
          <w:p>
            <w:pPr>
              <w:pStyle w:val="10"/>
              <w:spacing w:before="1" w:line="324" w:lineRule="auto"/>
              <w:ind w:right="110"/>
              <w:jc w:val="center"/>
              <w:rPr>
                <w:sz w:val="18"/>
              </w:rPr>
            </w:pPr>
            <w:r>
              <w:rPr>
                <w:rFonts w:hint="eastAsia"/>
                <w:sz w:val="18"/>
              </w:rPr>
              <w:t>工程</w:t>
            </w:r>
          </w:p>
          <w:p>
            <w:pPr>
              <w:pStyle w:val="10"/>
              <w:spacing w:before="1" w:line="324" w:lineRule="auto"/>
              <w:ind w:right="110"/>
              <w:jc w:val="center"/>
              <w:rPr>
                <w:sz w:val="18"/>
              </w:rPr>
            </w:pPr>
            <w:r>
              <w:rPr>
                <w:rFonts w:hint="eastAsia"/>
                <w:sz w:val="18"/>
              </w:rPr>
              <w:t>管理</w:t>
            </w:r>
          </w:p>
        </w:tc>
        <w:tc>
          <w:tcPr>
            <w:tcW w:w="1833" w:type="dxa"/>
            <w:noWrap/>
            <w:vAlign w:val="center"/>
          </w:tcPr>
          <w:p>
            <w:pPr>
              <w:pStyle w:val="10"/>
              <w:spacing w:before="1" w:line="324" w:lineRule="auto"/>
              <w:ind w:right="180"/>
              <w:jc w:val="both"/>
              <w:rPr>
                <w:sz w:val="18"/>
              </w:rPr>
            </w:pPr>
            <w:r>
              <w:rPr>
                <w:rFonts w:hint="eastAsia"/>
                <w:sz w:val="18"/>
              </w:rPr>
              <w:t>工程造价咨询企业在建筑工程计价活动中，出具有虚假记载、误导性</w:t>
            </w:r>
            <w:r>
              <w:rPr>
                <w:sz w:val="18"/>
              </w:rPr>
              <w:t xml:space="preserve"> 陈述的工程造价成果文件的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《建筑工程施工发包与承包计价管理办法》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造价工程师在最高投标限价、招标标底或者投标报价编制、工程结算审核和工程造价鉴定中，签署有虚假记载、误导性陈述的工程造价成果文的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《建筑工程施工发包与承包计价管理办法》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企业隐瞒有关情况或者提供虚假材料申请资质的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《建设工程勘察设计资质管理规定》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19</w:t>
            </w:r>
          </w:p>
        </w:tc>
        <w:tc>
          <w:tcPr>
            <w:tcW w:w="782" w:type="dxa"/>
            <w:noWrap/>
            <w:vAlign w:val="center"/>
          </w:tcPr>
          <w:p>
            <w:pPr>
              <w:pStyle w:val="10"/>
              <w:jc w:val="center"/>
              <w:rPr>
                <w:rFonts w:ascii="微软雅黑"/>
                <w:sz w:val="18"/>
              </w:rPr>
            </w:pPr>
            <w:r>
              <w:rPr>
                <w:rFonts w:hint="eastAsia" w:ascii="微软雅黑"/>
                <w:sz w:val="18"/>
              </w:rPr>
              <w:t>工程</w:t>
            </w:r>
          </w:p>
          <w:p>
            <w:pPr>
              <w:pStyle w:val="10"/>
              <w:spacing w:before="1" w:line="324" w:lineRule="auto"/>
              <w:ind w:right="110"/>
              <w:jc w:val="center"/>
              <w:rPr>
                <w:sz w:val="18"/>
              </w:rPr>
            </w:pPr>
            <w:r>
              <w:rPr>
                <w:rFonts w:hint="eastAsia" w:ascii="微软雅黑"/>
                <w:sz w:val="18"/>
              </w:rPr>
              <w:t>管理</w:t>
            </w:r>
          </w:p>
        </w:tc>
        <w:tc>
          <w:tcPr>
            <w:tcW w:w="1833" w:type="dxa"/>
            <w:noWrap/>
            <w:vAlign w:val="center"/>
          </w:tcPr>
          <w:p>
            <w:pPr>
              <w:pStyle w:val="10"/>
              <w:spacing w:before="1" w:line="324" w:lineRule="auto"/>
              <w:ind w:right="180"/>
              <w:jc w:val="both"/>
              <w:rPr>
                <w:sz w:val="18"/>
              </w:rPr>
            </w:pPr>
            <w:r>
              <w:rPr>
                <w:rFonts w:hint="eastAsia"/>
                <w:sz w:val="18"/>
              </w:rPr>
              <w:t>工程造价咨询企业有法律、法规禁止的其他行为的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《工程造价咨询企业管理办法》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工程造价咨询企业转包承接的工程造价咨询业务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《工程造价咨询企业管理办法》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工程造价咨询企业以给予回扣、恶意压低收费等方式进行不正当竞争</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《工程造价咨询企业管理办法》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22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同时接受招标人和投标人或两个以上投标人对同一工程项目的工程造价咨询业务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《工程造价咨询企业管理办法》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工程造价咨询企业超越资质等级业务范围承接工程造价咨询业务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《工程造价咨询企业管理办法》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工程造价咨询企业涂改、倒卖、出租、出借资质证书，或者以其他形式非法转让资质证书</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《工程造价咨询企业管理办法》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25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工程造价咨询企业新设立分支机构不备案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《工程造价咨询企业管理办法》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工程造价咨询企业不及时办理资质证书变更手续</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《工程造价咨询企业管理办法》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未取得工程造价咨询企业资质从事工程造价咨询活动或者超越资质等级承接工程造价咨询业务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《工程造价咨询企业管理办法》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28</w:t>
            </w:r>
          </w:p>
        </w:tc>
        <w:tc>
          <w:tcPr>
            <w:tcW w:w="782" w:type="dxa"/>
            <w:noWrap/>
            <w:vAlign w:val="center"/>
          </w:tcPr>
          <w:p>
            <w:pPr>
              <w:pStyle w:val="10"/>
              <w:ind w:firstLine="180" w:firstLineChars="100"/>
              <w:rPr>
                <w:rFonts w:ascii="微软雅黑"/>
                <w:sz w:val="18"/>
              </w:rPr>
            </w:pPr>
            <w:r>
              <w:rPr>
                <w:rFonts w:hint="eastAsia" w:ascii="微软雅黑"/>
                <w:sz w:val="18"/>
              </w:rPr>
              <w:t>工程</w:t>
            </w:r>
          </w:p>
          <w:p>
            <w:pPr>
              <w:pStyle w:val="10"/>
              <w:spacing w:before="1" w:line="324" w:lineRule="auto"/>
              <w:ind w:right="110"/>
              <w:jc w:val="center"/>
              <w:rPr>
                <w:sz w:val="18"/>
              </w:rPr>
            </w:pPr>
            <w:r>
              <w:rPr>
                <w:rFonts w:hint="eastAsia" w:ascii="微软雅黑"/>
                <w:sz w:val="18"/>
              </w:rPr>
              <w:t>管理</w:t>
            </w:r>
          </w:p>
        </w:tc>
        <w:tc>
          <w:tcPr>
            <w:tcW w:w="1833" w:type="dxa"/>
            <w:noWrap/>
            <w:vAlign w:val="center"/>
          </w:tcPr>
          <w:p>
            <w:pPr>
              <w:pStyle w:val="10"/>
              <w:spacing w:before="1" w:line="324" w:lineRule="auto"/>
              <w:ind w:right="180"/>
              <w:jc w:val="both"/>
              <w:rPr>
                <w:sz w:val="18"/>
              </w:rPr>
            </w:pPr>
            <w:r>
              <w:rPr>
                <w:rFonts w:hint="eastAsia"/>
                <w:sz w:val="18"/>
              </w:rPr>
              <w:t>以欺骗、贿赂等不正当手段取得工程造价咨询企业资质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《工程造价咨询企业管理办法》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申请人隐瞒有关情况或者提供虚假材料申请工程造价咨询企业资质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《工程造价咨询企业管理办法》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30</w:t>
            </w:r>
          </w:p>
        </w:tc>
        <w:tc>
          <w:tcPr>
            <w:tcW w:w="782" w:type="dxa"/>
            <w:noWrap/>
            <w:vAlign w:val="center"/>
          </w:tcPr>
          <w:p>
            <w:pPr>
              <w:pStyle w:val="10"/>
              <w:jc w:val="center"/>
              <w:rPr>
                <w:rFonts w:ascii="微软雅黑"/>
                <w:sz w:val="18"/>
              </w:rPr>
            </w:pPr>
          </w:p>
        </w:tc>
        <w:tc>
          <w:tcPr>
            <w:tcW w:w="1833" w:type="dxa"/>
            <w:noWrap/>
            <w:vAlign w:val="center"/>
          </w:tcPr>
          <w:p>
            <w:pPr>
              <w:pStyle w:val="10"/>
              <w:jc w:val="both"/>
              <w:rPr>
                <w:rFonts w:ascii="微软雅黑"/>
                <w:sz w:val="18"/>
              </w:rPr>
            </w:pPr>
            <w:r>
              <w:rPr>
                <w:rFonts w:hint="eastAsia" w:ascii="微软雅黑"/>
                <w:sz w:val="18"/>
              </w:rPr>
              <w:t>挪用住宅专项维修资金</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《住宅专项维修资金管理办法》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31</w:t>
            </w:r>
          </w:p>
        </w:tc>
        <w:tc>
          <w:tcPr>
            <w:tcW w:w="782" w:type="dxa"/>
            <w:noWrap/>
            <w:vAlign w:val="center"/>
          </w:tcPr>
          <w:p>
            <w:pPr>
              <w:pStyle w:val="10"/>
              <w:jc w:val="center"/>
              <w:rPr>
                <w:rFonts w:ascii="微软雅黑"/>
                <w:sz w:val="18"/>
              </w:rPr>
            </w:pPr>
          </w:p>
          <w:p>
            <w:pPr>
              <w:pStyle w:val="10"/>
              <w:jc w:val="center"/>
              <w:rPr>
                <w:rFonts w:ascii="微软雅黑"/>
                <w:sz w:val="18"/>
              </w:rPr>
            </w:pPr>
          </w:p>
        </w:tc>
        <w:tc>
          <w:tcPr>
            <w:tcW w:w="1833" w:type="dxa"/>
            <w:noWrap/>
            <w:vAlign w:val="center"/>
          </w:tcPr>
          <w:p>
            <w:pPr>
              <w:pStyle w:val="10"/>
              <w:jc w:val="both"/>
              <w:rPr>
                <w:rFonts w:ascii="微软雅黑"/>
                <w:sz w:val="18"/>
              </w:rPr>
            </w:pPr>
            <w:r>
              <w:rPr>
                <w:rFonts w:hint="eastAsia" w:ascii="微软雅黑"/>
                <w:sz w:val="18"/>
              </w:rPr>
              <w:t>建设单位未按规定分摊费用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《住宅专项维修资金管理办法》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32</w:t>
            </w:r>
          </w:p>
        </w:tc>
        <w:tc>
          <w:tcPr>
            <w:tcW w:w="782" w:type="dxa"/>
            <w:noWrap/>
            <w:vAlign w:val="center"/>
          </w:tcPr>
          <w:p>
            <w:pPr>
              <w:pStyle w:val="10"/>
              <w:jc w:val="center"/>
              <w:rPr>
                <w:rFonts w:ascii="微软雅黑"/>
                <w:sz w:val="18"/>
              </w:rPr>
            </w:pPr>
          </w:p>
        </w:tc>
        <w:tc>
          <w:tcPr>
            <w:tcW w:w="1833" w:type="dxa"/>
            <w:noWrap/>
            <w:vAlign w:val="center"/>
          </w:tcPr>
          <w:p>
            <w:pPr>
              <w:pStyle w:val="10"/>
              <w:jc w:val="both"/>
              <w:rPr>
                <w:rFonts w:ascii="微软雅黑"/>
                <w:sz w:val="18"/>
              </w:rPr>
            </w:pPr>
            <w:r>
              <w:rPr>
                <w:rFonts w:hint="eastAsia" w:ascii="微软雅黑"/>
                <w:sz w:val="18"/>
              </w:rPr>
              <w:t>以欺骗等不正当手段，取得审核同意或者获得廉租住房保障</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《廉租住房保障办法》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33</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p>
            <w:pPr>
              <w:pStyle w:val="10"/>
              <w:jc w:val="center"/>
              <w:rPr>
                <w:rFonts w:ascii="微软雅黑"/>
                <w:sz w:val="18"/>
              </w:rPr>
            </w:pPr>
          </w:p>
        </w:tc>
        <w:tc>
          <w:tcPr>
            <w:tcW w:w="1833" w:type="dxa"/>
            <w:noWrap/>
            <w:vAlign w:val="center"/>
          </w:tcPr>
          <w:p>
            <w:pPr>
              <w:pStyle w:val="10"/>
              <w:jc w:val="both"/>
              <w:rPr>
                <w:rFonts w:ascii="微软雅黑"/>
                <w:sz w:val="18"/>
              </w:rPr>
            </w:pPr>
            <w:r>
              <w:rPr>
                <w:rFonts w:hint="eastAsia" w:ascii="微软雅黑"/>
                <w:sz w:val="18"/>
              </w:rPr>
              <w:t>房地产开发企业不按照规定办理变更手续</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《房地产开发企业资质管理规定》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487" w:type="dxa"/>
            <w:noWrap/>
            <w:vAlign w:val="center"/>
          </w:tcPr>
          <w:p>
            <w:pPr>
              <w:pStyle w:val="10"/>
              <w:ind w:right="276"/>
              <w:jc w:val="center"/>
              <w:rPr>
                <w:sz w:val="18"/>
              </w:rPr>
            </w:pPr>
            <w:r>
              <w:rPr>
                <w:rFonts w:hint="eastAsia"/>
                <w:sz w:val="18"/>
              </w:rPr>
              <w:t>34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施工单位负责人、项目负责人造成事故</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在施工组织设计中未编制安全技术措施、施工现场临时用电方案或者专项施工方案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委托不具有相应资质的单位承担施工现场安装、拆卸施工起重机械和整体提升脚手架、模板等自升式架设设施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使用未经验收或者验收不合格的施工起重机械和整体提升脚手架、模板等自升式架设设施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安全防护用具、机械设备、施工机具及配件在进入施工现场前未经查验或者査验不合格即投入使用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未对因建设工程施工可能造成损害的毗邻建筑物、构筑物和地下管线等釆取专项防护措施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39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施工现场临时搭建的建筑物不符合安全使用要求</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40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施工单位在尚未竣工的建筑物内设置员工集体宿舍</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41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施工单位未根据不同施工阶段和周围环境及季节、气候的变化，在施工现场采取相应的安全施工措施，或者在城市市区内的建设工程的施工现场未实行封闭围挡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42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施工单位施工前未对有关安全施工的技术要求作出详细说明</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43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施工单位挪用安全生产措施费</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44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未按照规定在施工起重机械和整体提升脚手架、模板等自升式架设设施验收合格后登记</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45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未向作业人员提供安全防护用具和安全防护服装</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46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未在施工现场的危险部位设置明显的安全警示标志，或者未按照国家有关规定在施工现场设置消防通道、消防水源、配备消防设施和灭火器材</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47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施工单位的主要负责人、项目负责人、专职安全生产管理人员、作业人员或者特种作业人员，未经安全教育培训或者经考核不合格即从事相关工作</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48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未设立安全生产管理机构、配备专</w:t>
            </w:r>
            <w:r>
              <w:rPr>
                <w:rFonts w:ascii="微软雅黑"/>
                <w:sz w:val="18"/>
              </w:rPr>
              <w:t xml:space="preserve"> 职安全生产管理人员或者分部分项 工程施工时无专职安全生产管理人 员现场监督</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49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施工起重机械和整体提升脚手架、</w:t>
            </w:r>
            <w:r>
              <w:rPr>
                <w:rFonts w:ascii="微软雅黑"/>
                <w:sz w:val="18"/>
              </w:rPr>
              <w:t xml:space="preserve"> 模板等自升式架设设施安装、拆卸单 位未向施工单位进行安全使用说明， 办理移交手续</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50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施工起重机械和整体提升脚手架、</w:t>
            </w:r>
            <w:r>
              <w:rPr>
                <w:rFonts w:ascii="微软雅黑"/>
                <w:sz w:val="18"/>
              </w:rPr>
              <w:t xml:space="preserve"> 模板等自升式架设设施安装、拆卸单位未出具自检合格证明或者出具虚假证明</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51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施工起重机械和整体提升脚手架、</w:t>
            </w:r>
            <w:r>
              <w:rPr>
                <w:rFonts w:ascii="微软雅黑"/>
                <w:sz w:val="18"/>
              </w:rPr>
              <w:t xml:space="preserve"> 模板等自升式架设设施安装、拆卸单位未由专业技术人员现场监督</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52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施工起重机械和整体提升脚手架、</w:t>
            </w:r>
            <w:r>
              <w:rPr>
                <w:rFonts w:ascii="微软雅黑"/>
                <w:sz w:val="18"/>
              </w:rPr>
              <w:t xml:space="preserve"> 模板等自升式架设设施安装、拆卸单 位未编制拆装方案、制定安全施工措施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53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出租检测不合格的机械设备和施工机具</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54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机械设备缺少安全保护装置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55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注册执业人员造成安全生产事故</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56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未依照法律、法规和工程建设强制性标准实施监理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57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施工单位拒不整改或者不停止施工，未及时向有关主管部门报告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58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发现安全事故隐患未及时要求施工单位整改或者暂时停止施工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59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未对施工组织设计中的安全技术措施或者专项施工方案进行审查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60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釆用新结构、新材料、新工艺的建设工程和特殊结构的建设工程，设计单位未在设计中提出保障施工作业人员安全和预防生产安全事故的措施建议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61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未按照法律、法规和工程建设强制性标准进行勘察、设计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62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要求施工单位压缩合同约定的工期</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63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勘察、设计、施工、工程监理等单位提出不符合安全生产法律、法规和强制性标准规定的要求</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《建设工程安全生产管理条例》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64</w:t>
            </w:r>
          </w:p>
        </w:tc>
        <w:tc>
          <w:tcPr>
            <w:tcW w:w="782" w:type="dxa"/>
            <w:noWrap/>
            <w:vAlign w:val="center"/>
          </w:tcPr>
          <w:p>
            <w:pPr>
              <w:pStyle w:val="10"/>
              <w:jc w:val="center"/>
              <w:rPr>
                <w:rFonts w:ascii="微软雅黑"/>
                <w:sz w:val="18"/>
              </w:rPr>
            </w:pP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建设单位接到监理单位报告后，未责令安装单位、使用单位立即停工整改</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65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建设单位未按照规定协调组织制定防止多台塔式起重机相互碰撞的安全措施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66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监理单位未监督检査建筑起重机械的使用情况</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67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监理单位未监督安装单位执行建筑起重机械安装、拆卸工程专项施工方案情况</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68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理单位未审核建筑起重机械安装单位、使用单位的资质证书、安全生产许可证和特种作业人员的特种作业操作资格证书</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487" w:type="dxa"/>
            <w:noWrap/>
            <w:vAlign w:val="center"/>
          </w:tcPr>
          <w:p>
            <w:pPr>
              <w:pStyle w:val="10"/>
              <w:ind w:right="276"/>
              <w:jc w:val="center"/>
              <w:rPr>
                <w:sz w:val="18"/>
              </w:rPr>
            </w:pPr>
            <w:r>
              <w:rPr>
                <w:rFonts w:hint="eastAsia"/>
                <w:sz w:val="18"/>
              </w:rPr>
              <w:t>69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监理单位未审核建筑起重机械特种设备制造许可证、产品合格证、制造监督检验证明、备案证明等文件</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70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施工总包单位未施工总包单位未组织制定并实施防止塔式起重机相互碰撞的安全措施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71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施工总包单位未审核使用单位制定的建筑起重机械生产安全事故应急救援预案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72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施工总包单位未审核安装单位制定的建筑起重机械安装、拆卸工程专项施工方案和生产安全事故应急救援预案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73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施工总包单位未审核安装单位、使用单位的资质证书、安全生产许可证和特种作业人员的特种作业操作资格证书</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74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施工总包单位未向安装单位提供拟安装设备位置的基础施工资料，确保建筑起重机械进场安装、拆卸所需的施工条件</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75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擅自在建筑起重机械上安装非原制造厂制造的标准节和附着装置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76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未指定专职设备管理人员进行现场监督检查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77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使用单位未在建筑起重机械出现故障或者发生异常情况的，立即停止使用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78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使用单位未设置相应的设备管理机构或者配备专职的设备管理人员</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79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使用单位未制定建筑起重机械生产安全事故应急救援预案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80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使用单位未根据不同施工阶段、周围环境以及季节、气候的变化，对建筑起重机械釆取相应的安全防护措施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487" w:type="dxa"/>
            <w:noWrap/>
            <w:vAlign w:val="center"/>
          </w:tcPr>
          <w:p>
            <w:pPr>
              <w:pStyle w:val="10"/>
              <w:ind w:right="276"/>
              <w:jc w:val="center"/>
              <w:rPr>
                <w:sz w:val="18"/>
              </w:rPr>
            </w:pPr>
            <w:r>
              <w:rPr>
                <w:rFonts w:hint="eastAsia"/>
                <w:sz w:val="18"/>
              </w:rPr>
              <w:t>81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安装单位未按照建筑起重机械安装、拆卸工程专项施工方案及安全操作规程组织安装、拆卸作业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82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安装单位未按照规定建立建筑起重机械安装、拆卸工程档案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83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安装单位未将建筑起重机械安装、拆卸工程专项施工方案，安装、拆卸人员名单，安装、拆卸时间等材料报施工总承包单位和监理单位审核后，告知工程所在地县级以上地方人民政府建设主管部门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84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安装单位未制定建筑起重机械安装、拆卸工程生产安全事故应急救援预案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85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安装单位未按照安全技术标准及安装使用说明书等检查建筑起重机械及现场施工条件</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86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出租单位、自购建筑起重机械的使用单位未按照规定建立建筑起重机械安装、拆卸工程档案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487" w:type="dxa"/>
            <w:noWrap/>
            <w:vAlign w:val="center"/>
          </w:tcPr>
          <w:p>
            <w:pPr>
              <w:pStyle w:val="10"/>
              <w:ind w:right="276"/>
              <w:jc w:val="center"/>
              <w:rPr>
                <w:sz w:val="18"/>
              </w:rPr>
            </w:pPr>
            <w:r>
              <w:rPr>
                <w:rFonts w:hint="eastAsia"/>
                <w:sz w:val="18"/>
              </w:rPr>
              <w:t>87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出租单位、自购建筑起重机械的使用单位未按照规定办理注销手续</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88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出租单位、自购建筑起重机械的使用单位未按照规定办理备案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《建筑起重机械安全监督管理规定》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89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招标人未向建设行政主管部门</w:t>
            </w:r>
            <w:r>
              <w:rPr>
                <w:rFonts w:ascii="微软雅黑"/>
                <w:sz w:val="18"/>
              </w:rPr>
              <w:t xml:space="preserve"> 提交施工招标投标情况书面报告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《房屋建筑和市政基础设施工程施工招标投标管理办法》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487" w:type="dxa"/>
            <w:noWrap/>
            <w:vAlign w:val="center"/>
          </w:tcPr>
          <w:p>
            <w:pPr>
              <w:pStyle w:val="10"/>
              <w:ind w:right="276"/>
              <w:jc w:val="center"/>
              <w:rPr>
                <w:sz w:val="18"/>
              </w:rPr>
            </w:pPr>
            <w:r>
              <w:rPr>
                <w:rFonts w:hint="eastAsia"/>
                <w:sz w:val="18"/>
              </w:rPr>
              <w:t>90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招标人不具备自行办理施工招标</w:t>
            </w:r>
            <w:r>
              <w:rPr>
                <w:rFonts w:ascii="微软雅黑"/>
                <w:sz w:val="18"/>
              </w:rPr>
              <w:t>事宜条件而自行招标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《房屋建筑和市政基础设施工程施工招标投标管理办法》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91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取得招标职业资格的专业人员违</w:t>
            </w:r>
            <w:r>
              <w:rPr>
                <w:rFonts w:ascii="微软雅黑"/>
                <w:sz w:val="18"/>
              </w:rPr>
              <w:t>反国家有关规定办理招标业务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《中华人民共和国招标投标法实施条例》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92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投标人或者其他利害关系人捏造</w:t>
            </w:r>
            <w:r>
              <w:rPr>
                <w:rFonts w:ascii="微软雅黑"/>
                <w:sz w:val="18"/>
              </w:rPr>
              <w:t>事实、伪造材料或者以非法手段取得 证明材料进行投诉；招标人不按照规定对异议作出答复，继续进行招标投标活动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《中华人民共和国招标投标法实施条例》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1" w:hRule="atLeast"/>
        </w:trPr>
        <w:tc>
          <w:tcPr>
            <w:tcW w:w="487" w:type="dxa"/>
            <w:noWrap/>
            <w:vAlign w:val="center"/>
          </w:tcPr>
          <w:p>
            <w:pPr>
              <w:pStyle w:val="10"/>
              <w:ind w:right="276"/>
              <w:jc w:val="center"/>
              <w:rPr>
                <w:sz w:val="18"/>
              </w:rPr>
            </w:pPr>
            <w:r>
              <w:rPr>
                <w:rFonts w:hint="eastAsia"/>
                <w:sz w:val="18"/>
              </w:rPr>
              <w:t>93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依法必须进行招标的项目的招标人</w:t>
            </w:r>
            <w:r>
              <w:rPr>
                <w:rFonts w:ascii="微软雅黑"/>
                <w:sz w:val="18"/>
              </w:rPr>
              <w:t xml:space="preserve"> 无正当理由不发出中标通知书；不按 照规定确定中标人；中标通知书发出 后无正当理由改变中标结果；无正当 理由不与中标人订立合同；在订立合 同时向中标人提出附加条件</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《中华人民共和国招标投标法实施条例》</w:t>
            </w:r>
          </w:p>
          <w:p>
            <w:pPr>
              <w:pStyle w:val="10"/>
              <w:spacing w:line="324" w:lineRule="auto"/>
              <w:ind w:right="157"/>
              <w:jc w:val="both"/>
              <w:rPr>
                <w:sz w:val="18"/>
              </w:rPr>
            </w:pPr>
            <w:r>
              <w:rPr>
                <w:rFonts w:hint="eastAsia"/>
                <w:sz w:val="18"/>
              </w:rPr>
              <w:t>《建筑工程设计招标投标管理办法》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1" w:hRule="atLeast"/>
        </w:trPr>
        <w:tc>
          <w:tcPr>
            <w:tcW w:w="487" w:type="dxa"/>
            <w:noWrap/>
            <w:vAlign w:val="center"/>
          </w:tcPr>
          <w:p>
            <w:pPr>
              <w:pStyle w:val="10"/>
              <w:jc w:val="center"/>
              <w:rPr>
                <w:rFonts w:ascii="微软雅黑"/>
                <w:sz w:val="18"/>
              </w:rPr>
            </w:pPr>
            <w:r>
              <w:rPr>
                <w:rFonts w:hint="eastAsia" w:ascii="微软雅黑"/>
                <w:sz w:val="18"/>
              </w:rPr>
              <w:t>94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评标委员会成员收受投标人的财</w:t>
            </w:r>
            <w:r>
              <w:rPr>
                <w:rFonts w:ascii="微软雅黑"/>
                <w:sz w:val="18"/>
              </w:rPr>
              <w:t>物或者其他好处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95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评标委员会成员应当回避而不回</w:t>
            </w:r>
            <w:r>
              <w:rPr>
                <w:rFonts w:ascii="微软雅黑"/>
                <w:sz w:val="18"/>
              </w:rPr>
              <w:t>避；擅离职守；不按照招标文件规定的评标标准和方法评标；私下接触投标人；向招标人征询确定中标人的意向或者接受任何单位或者个人明示 或者暗示提出的倾向或者排斥特定 投标人的要求；对依法应当否决的投 标不提出否决意见；暗示或者诱导投标人作出澄清、说明或者接受投标人主动提出的澄清、说明；其他不客观、 不公正履行职务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《中华人民共和国招标投标法实施条例》</w:t>
            </w:r>
          </w:p>
          <w:p>
            <w:pPr>
              <w:pStyle w:val="10"/>
              <w:spacing w:line="324" w:lineRule="auto"/>
              <w:ind w:right="157"/>
              <w:jc w:val="both"/>
              <w:rPr>
                <w:sz w:val="18"/>
              </w:rPr>
            </w:pPr>
            <w:r>
              <w:rPr>
                <w:rFonts w:hint="eastAsia"/>
                <w:sz w:val="18"/>
              </w:rPr>
              <w:t>《工程建设项目施工招标投标办法》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96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依法必须进行招标的项目的招标</w:t>
            </w:r>
            <w:r>
              <w:rPr>
                <w:rFonts w:ascii="微软雅黑"/>
                <w:sz w:val="18"/>
              </w:rPr>
              <w:t>人不按照规定组建评标委员会，或者 确定、更换评标委员会成员违反招标投标法和本条例规定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《中华人民共和国招标投标法实施条例》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97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出让或者出租资格、资质证书供他</w:t>
            </w:r>
            <w:r>
              <w:rPr>
                <w:rFonts w:ascii="微软雅黑"/>
                <w:sz w:val="18"/>
              </w:rPr>
              <w:t>人投标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《中华人民共和国招标投标法实施条例》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98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招标人超过本条例规定的比例收</w:t>
            </w:r>
            <w:r>
              <w:rPr>
                <w:rFonts w:ascii="微软雅黑"/>
                <w:sz w:val="18"/>
              </w:rPr>
              <w:t>取投标保证金、履约保证金或者不按照规定退还投标保证金及银行同期存款利息</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《中华人民共和国招标投标法实施条例》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99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招标人依法应当公开招标而釆用</w:t>
            </w:r>
            <w:r>
              <w:rPr>
                <w:rFonts w:ascii="微软雅黑"/>
                <w:sz w:val="18"/>
              </w:rPr>
              <w:t>邀请招标；招标文件、资格预审文件 的发售、澄清、修改的时限，或者确 定的提交资格预审申请文件、投标文件的时限不符合招标投标法和本条 例规定；接受未通过资格预审的单位或者个人参加投标；接受应当拒收的投标文件</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《中华人民共和国招标投标法实施条例》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703"/>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566" w:type="dxa"/>
            <w:noWrap/>
            <w:vAlign w:val="center"/>
          </w:tcPr>
          <w:p>
            <w:pPr>
              <w:pStyle w:val="10"/>
              <w:ind w:right="276"/>
              <w:rPr>
                <w:sz w:val="18"/>
              </w:rPr>
            </w:pPr>
            <w:r>
              <w:rPr>
                <w:rFonts w:hint="eastAsia"/>
                <w:sz w:val="15"/>
              </w:rPr>
              <w:t>100</w:t>
            </w:r>
          </w:p>
        </w:tc>
        <w:tc>
          <w:tcPr>
            <w:tcW w:w="703"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任何单位违反本法规定，限制或者</w:t>
            </w:r>
            <w:r>
              <w:rPr>
                <w:rFonts w:ascii="微软雅黑"/>
                <w:sz w:val="18"/>
              </w:rPr>
              <w:t>排斥本地区、本系统以外的法人或者其他组织参加投标的，为招标人制定指定代理机构的，强制招标人委托招标代理机构办理招标事宜的，或者以其他方式干涉招标投标活动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《中华人民共和国招标投标法实施条例》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566" w:type="dxa"/>
            <w:noWrap/>
            <w:vAlign w:val="center"/>
          </w:tcPr>
          <w:p>
            <w:pPr>
              <w:pStyle w:val="10"/>
              <w:jc w:val="center"/>
              <w:rPr>
                <w:rFonts w:ascii="微软雅黑"/>
                <w:sz w:val="18"/>
              </w:rPr>
            </w:pPr>
            <w:r>
              <w:rPr>
                <w:rFonts w:hint="eastAsia" w:ascii="微软雅黑"/>
                <w:sz w:val="18"/>
              </w:rPr>
              <w:t>101</w:t>
            </w:r>
          </w:p>
        </w:tc>
        <w:tc>
          <w:tcPr>
            <w:tcW w:w="703"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中标人不按照与招标人订立的合</w:t>
            </w:r>
            <w:r>
              <w:rPr>
                <w:rFonts w:ascii="微软雅黑"/>
                <w:sz w:val="18"/>
              </w:rPr>
              <w:t>同履行义务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566" w:type="dxa"/>
            <w:noWrap/>
            <w:vAlign w:val="center"/>
          </w:tcPr>
          <w:p>
            <w:pPr>
              <w:pStyle w:val="10"/>
              <w:jc w:val="center"/>
              <w:rPr>
                <w:rFonts w:ascii="微软雅黑"/>
                <w:sz w:val="18"/>
              </w:rPr>
            </w:pPr>
            <w:r>
              <w:rPr>
                <w:rFonts w:hint="eastAsia" w:ascii="微软雅黑"/>
                <w:sz w:val="18"/>
              </w:rPr>
              <w:t>102</w:t>
            </w:r>
          </w:p>
        </w:tc>
        <w:tc>
          <w:tcPr>
            <w:tcW w:w="703"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中标人将中标项目转让给他人的，</w:t>
            </w:r>
            <w:r>
              <w:rPr>
                <w:rFonts w:ascii="微软雅黑"/>
                <w:sz w:val="18"/>
              </w:rPr>
              <w:t xml:space="preserve"> 将中标项目肢解后分别转让给他人 的，违反本法规定将中标项目的部分 主体、关键性工作分包给他人的，或 者分包人再次分包</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p>
            <w:pPr>
              <w:pStyle w:val="10"/>
              <w:spacing w:line="324" w:lineRule="auto"/>
              <w:ind w:right="157"/>
              <w:jc w:val="both"/>
              <w:rPr>
                <w:sz w:val="18"/>
              </w:rPr>
            </w:pPr>
            <w:r>
              <w:rPr>
                <w:rFonts w:hint="eastAsia"/>
                <w:sz w:val="18"/>
              </w:rPr>
              <w:t>《中华人民共和国招标投标法实施条例》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103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评标委员会成员收受投标人的财</w:t>
            </w:r>
            <w:r>
              <w:rPr>
                <w:rFonts w:ascii="微软雅黑"/>
                <w:sz w:val="18"/>
              </w:rPr>
              <w:t xml:space="preserve"> 物或者其他好处的，评标委员会成员 或者参加评标的有关工作人员向他 人透露对投标文件的评审和比较、中 标候选人的推荐以及与评标有关的 其他情况</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p>
            <w:pPr>
              <w:pStyle w:val="10"/>
              <w:spacing w:line="324" w:lineRule="auto"/>
              <w:ind w:right="157"/>
              <w:jc w:val="both"/>
              <w:rPr>
                <w:sz w:val="18"/>
              </w:rPr>
            </w:pP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104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投标人以他人名义投标或者以其</w:t>
            </w:r>
            <w:r>
              <w:rPr>
                <w:rFonts w:ascii="微软雅黑"/>
                <w:sz w:val="18"/>
              </w:rPr>
              <w:t xml:space="preserve"> 他方式弄虚作假，骗取中标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p>
            <w:pPr>
              <w:pStyle w:val="10"/>
              <w:spacing w:line="324" w:lineRule="auto"/>
              <w:ind w:right="157"/>
              <w:jc w:val="both"/>
              <w:rPr>
                <w:sz w:val="18"/>
              </w:rPr>
            </w:pP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105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招标人与中标人不按照招标文件</w:t>
            </w:r>
            <w:r>
              <w:rPr>
                <w:rFonts w:ascii="微软雅黑"/>
                <w:sz w:val="18"/>
              </w:rPr>
              <w:t xml:space="preserve"> 和中标人的投标文件订立合同的，或 者招标人、中标人订立背离合同实质 性内容的协议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p>
            <w:pPr>
              <w:pStyle w:val="10"/>
              <w:spacing w:line="324" w:lineRule="auto"/>
              <w:ind w:right="157"/>
              <w:jc w:val="both"/>
              <w:rPr>
                <w:sz w:val="18"/>
              </w:rPr>
            </w:pPr>
            <w:r>
              <w:rPr>
                <w:rFonts w:hint="eastAsia"/>
                <w:sz w:val="18"/>
              </w:rPr>
              <w:t>《中</w:t>
            </w:r>
            <w:bookmarkStart w:id="0" w:name="_GoBack"/>
            <w:bookmarkEnd w:id="0"/>
            <w:r>
              <w:rPr>
                <w:rFonts w:hint="eastAsia"/>
                <w:sz w:val="18"/>
              </w:rPr>
              <w:t>华人民共和国招标投标</w:t>
            </w:r>
            <w:r>
              <w:rPr>
                <w:rFonts w:hint="eastAsia"/>
                <w:sz w:val="18"/>
                <w:lang w:val="en-US" w:eastAsia="zh-CN"/>
              </w:rPr>
              <w:t>法</w:t>
            </w:r>
            <w:r>
              <w:rPr>
                <w:rFonts w:hint="eastAsia"/>
                <w:sz w:val="18"/>
              </w:rPr>
              <w:t>实施条例》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106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招标人在评标委员会依法推荐的</w:t>
            </w:r>
            <w:r>
              <w:rPr>
                <w:rFonts w:ascii="微软雅黑"/>
                <w:sz w:val="18"/>
              </w:rPr>
              <w:t xml:space="preserve"> 中标候选人以外确定中标人的，依法 必须进行招标的项目在所有投标被评标委员会否决后自行确定中标人</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107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依法必须进行招标的项目，招标人</w:t>
            </w:r>
            <w:r>
              <w:rPr>
                <w:rFonts w:ascii="微软雅黑"/>
                <w:sz w:val="18"/>
              </w:rPr>
              <w:t xml:space="preserve"> 违反本法规定，与投标人就投标价 格、投标方案等实质性内容进行谈判</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108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招标人对必须进行招标的项目而</w:t>
            </w:r>
            <w:r>
              <w:rPr>
                <w:rFonts w:ascii="微软雅黑"/>
                <w:sz w:val="18"/>
              </w:rPr>
              <w:t xml:space="preserve"> 不招标的，将必须进行招标的项目化 整为零或者以其他任何方式规避招标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ind w:right="276"/>
              <w:jc w:val="center"/>
              <w:rPr>
                <w:sz w:val="18"/>
              </w:rPr>
            </w:pPr>
            <w:r>
              <w:rPr>
                <w:rFonts w:hint="eastAsia"/>
                <w:sz w:val="18"/>
              </w:rPr>
              <w:t>109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依法必须进行招标的项目的招标</w:t>
            </w:r>
            <w:r>
              <w:rPr>
                <w:rFonts w:ascii="微软雅黑"/>
                <w:sz w:val="18"/>
              </w:rPr>
              <w:t>人向他人透露已获取招标文件的潜 在投标人的名称、数量或者可能影响公平竞争的有关招标投标的其他情况的，或者泄露标底</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110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招标人以不合理的条件限制或者</w:t>
            </w:r>
            <w:r>
              <w:rPr>
                <w:rFonts w:ascii="微软雅黑"/>
                <w:sz w:val="18"/>
              </w:rPr>
              <w:t xml:space="preserve"> 排斥潜在投标人的，对潜在投标人实行歧视待遇的，强制要求投标人组成联合体共同投标的，或者限制投标人之间竞争</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111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在燃投标人相互串通投标或者与</w:t>
            </w:r>
            <w:r>
              <w:rPr>
                <w:rFonts w:ascii="微软雅黑"/>
                <w:sz w:val="18"/>
              </w:rPr>
              <w:t>对招标人串通投标的，投标人以向招标人或者评标委员会成员行贿的手段谋取中标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tcPr>
          <w:p>
            <w:pPr>
              <w:pStyle w:val="10"/>
              <w:spacing w:before="4"/>
              <w:rPr>
                <w:rFonts w:ascii="微软雅黑"/>
                <w:sz w:val="9"/>
              </w:rPr>
            </w:pPr>
          </w:p>
          <w:p>
            <w:pPr>
              <w:pStyle w:val="10"/>
              <w:numPr>
                <w:ilvl w:val="0"/>
                <w:numId w:val="1"/>
              </w:numPr>
              <w:tabs>
                <w:tab w:val="left" w:pos="294"/>
              </w:tabs>
              <w:ind w:hanging="182"/>
              <w:rPr>
                <w:sz w:val="18"/>
              </w:rPr>
            </w:pPr>
            <w:r>
              <w:rPr>
                <w:sz w:val="18"/>
              </w:rPr>
              <w:t xml:space="preserve">政府网站 □政府公报 </w:t>
            </w:r>
          </w:p>
          <w:p>
            <w:pPr>
              <w:pStyle w:val="10"/>
              <w:spacing w:before="82"/>
              <w:ind w:left="112"/>
              <w:rPr>
                <w:sz w:val="18"/>
              </w:rPr>
            </w:pPr>
            <w:r>
              <w:rPr>
                <w:sz w:val="18"/>
              </w:rPr>
              <w:t xml:space="preserve">□两微一端 □发布会/听证会 </w:t>
            </w:r>
          </w:p>
          <w:p>
            <w:pPr>
              <w:pStyle w:val="10"/>
              <w:spacing w:before="81"/>
              <w:ind w:left="112"/>
              <w:rPr>
                <w:sz w:val="18"/>
              </w:rPr>
            </w:pPr>
            <w:r>
              <w:rPr>
                <w:sz w:val="18"/>
              </w:rPr>
              <w:t xml:space="preserve">□广播电视 □纸质媒体 </w:t>
            </w:r>
          </w:p>
          <w:p>
            <w:pPr>
              <w:pStyle w:val="10"/>
              <w:numPr>
                <w:ilvl w:val="0"/>
                <w:numId w:val="1"/>
              </w:numPr>
              <w:tabs>
                <w:tab w:val="left" w:pos="294"/>
              </w:tabs>
              <w:spacing w:before="81"/>
              <w:ind w:hanging="182"/>
              <w:rPr>
                <w:sz w:val="18"/>
              </w:rPr>
            </w:pPr>
            <w:r>
              <w:rPr>
                <w:sz w:val="18"/>
              </w:rPr>
              <w:t xml:space="preserve">公开查阅点 □政务服务中心 </w:t>
            </w:r>
          </w:p>
          <w:p>
            <w:pPr>
              <w:pStyle w:val="10"/>
              <w:spacing w:before="82"/>
              <w:ind w:left="112"/>
              <w:rPr>
                <w:sz w:val="18"/>
              </w:rPr>
            </w:pPr>
            <w:r>
              <w:rPr>
                <w:sz w:val="18"/>
              </w:rPr>
              <w:t xml:space="preserve">□便民服务站 □入户/现场 </w:t>
            </w:r>
          </w:p>
          <w:p>
            <w:pPr>
              <w:pStyle w:val="10"/>
              <w:spacing w:before="81" w:line="324" w:lineRule="auto"/>
              <w:ind w:left="112" w:right="188"/>
              <w:rPr>
                <w:sz w:val="18"/>
              </w:rPr>
            </w:pPr>
            <w:r>
              <w:rPr>
                <w:sz w:val="18"/>
              </w:rPr>
              <w:t xml:space="preserve">□社区/企事业单位/村公示栏（电子屏） </w:t>
            </w:r>
          </w:p>
          <w:p>
            <w:pPr>
              <w:pStyle w:val="10"/>
              <w:spacing w:before="1"/>
              <w:ind w:left="112"/>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112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招标代理机构违反本法规定，泄露</w:t>
            </w:r>
            <w:r>
              <w:rPr>
                <w:rFonts w:ascii="微软雅黑"/>
                <w:sz w:val="18"/>
              </w:rPr>
              <w:t>应当保密的与招标投标活动有关的 情况的资料的，或者与招标人、投标人串通损害国家利益、社会公共利益或者他人合法权益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《中华人民共和国招标投标法》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113</w:t>
            </w:r>
          </w:p>
        </w:tc>
        <w:tc>
          <w:tcPr>
            <w:tcW w:w="782" w:type="dxa"/>
            <w:noWrap/>
            <w:vAlign w:val="center"/>
          </w:tcPr>
          <w:p>
            <w:pPr>
              <w:pStyle w:val="10"/>
              <w:jc w:val="center"/>
              <w:rPr>
                <w:rFonts w:ascii="微软雅黑"/>
                <w:sz w:val="18"/>
              </w:rPr>
            </w:pPr>
          </w:p>
        </w:tc>
        <w:tc>
          <w:tcPr>
            <w:tcW w:w="1833" w:type="dxa"/>
            <w:noWrap/>
            <w:vAlign w:val="center"/>
          </w:tcPr>
          <w:p>
            <w:pPr>
              <w:pStyle w:val="10"/>
              <w:jc w:val="both"/>
              <w:rPr>
                <w:rFonts w:ascii="微软雅黑"/>
                <w:sz w:val="18"/>
              </w:rPr>
            </w:pPr>
            <w:r>
              <w:rPr>
                <w:rFonts w:hint="eastAsia" w:ascii="微软雅黑"/>
                <w:sz w:val="18"/>
              </w:rPr>
              <w:t>户外违法回收贩卖药品</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《药品管理法》</w:t>
            </w:r>
          </w:p>
          <w:p>
            <w:pPr>
              <w:pStyle w:val="10"/>
              <w:spacing w:line="324" w:lineRule="auto"/>
              <w:ind w:right="157"/>
              <w:jc w:val="both"/>
              <w:rPr>
                <w:sz w:val="18"/>
              </w:rPr>
            </w:pPr>
            <w:r>
              <w:rPr>
                <w:rFonts w:hint="eastAsia"/>
                <w:sz w:val="18"/>
              </w:rPr>
              <w:t>《药品流通监督管理办法》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90" w:firstLineChars="5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90" w:firstLineChars="5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114</w:t>
            </w:r>
          </w:p>
        </w:tc>
        <w:tc>
          <w:tcPr>
            <w:tcW w:w="782" w:type="dxa"/>
            <w:noWrap/>
            <w:vAlign w:val="center"/>
          </w:tcPr>
          <w:p>
            <w:pPr>
              <w:pStyle w:val="10"/>
              <w:jc w:val="center"/>
              <w:rPr>
                <w:rFonts w:ascii="微软雅黑"/>
                <w:sz w:val="18"/>
              </w:rPr>
            </w:pPr>
          </w:p>
        </w:tc>
        <w:tc>
          <w:tcPr>
            <w:tcW w:w="1833" w:type="dxa"/>
            <w:noWrap/>
            <w:vAlign w:val="center"/>
          </w:tcPr>
          <w:p>
            <w:pPr>
              <w:pStyle w:val="10"/>
              <w:jc w:val="both"/>
              <w:rPr>
                <w:rFonts w:ascii="微软雅黑"/>
                <w:sz w:val="18"/>
              </w:rPr>
            </w:pPr>
            <w:r>
              <w:rPr>
                <w:rFonts w:hint="eastAsia" w:ascii="微软雅黑"/>
                <w:sz w:val="18"/>
              </w:rPr>
              <w:t>户外公共场所的食品销售和餐饮摊点无证经营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《中华人民共和国食品安全法》</w:t>
            </w:r>
          </w:p>
          <w:p>
            <w:pPr>
              <w:pStyle w:val="10"/>
              <w:spacing w:line="324" w:lineRule="auto"/>
              <w:ind w:right="157"/>
              <w:jc w:val="both"/>
              <w:rPr>
                <w:sz w:val="18"/>
              </w:rPr>
            </w:pPr>
            <w:r>
              <w:rPr>
                <w:rFonts w:hint="eastAsia"/>
                <w:sz w:val="18"/>
              </w:rPr>
              <w:t>《内蒙古自治区食品摊贩和小餐饮备案管理办法》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90" w:firstLineChars="5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90" w:firstLineChars="5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115</w:t>
            </w:r>
          </w:p>
        </w:tc>
        <w:tc>
          <w:tcPr>
            <w:tcW w:w="782" w:type="dxa"/>
            <w:noWrap/>
            <w:vAlign w:val="center"/>
          </w:tcPr>
          <w:p>
            <w:pPr>
              <w:pStyle w:val="10"/>
              <w:jc w:val="center"/>
              <w:rPr>
                <w:rFonts w:ascii="微软雅黑"/>
                <w:sz w:val="18"/>
              </w:rPr>
            </w:pPr>
          </w:p>
        </w:tc>
        <w:tc>
          <w:tcPr>
            <w:tcW w:w="1833" w:type="dxa"/>
            <w:noWrap/>
            <w:vAlign w:val="center"/>
          </w:tcPr>
          <w:p>
            <w:pPr>
              <w:pStyle w:val="10"/>
              <w:jc w:val="both"/>
              <w:rPr>
                <w:rFonts w:ascii="微软雅黑"/>
                <w:sz w:val="18"/>
              </w:rPr>
            </w:pPr>
            <w:r>
              <w:rPr>
                <w:rFonts w:hint="eastAsia" w:ascii="微软雅黑"/>
                <w:sz w:val="18"/>
              </w:rPr>
              <w:t>户外公共场所无证经营非法违规设置广告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《广告管理条例施行细则》</w:t>
            </w:r>
          </w:p>
          <w:p>
            <w:pPr>
              <w:pStyle w:val="10"/>
              <w:spacing w:line="324" w:lineRule="auto"/>
              <w:ind w:right="157"/>
              <w:jc w:val="both"/>
              <w:rPr>
                <w:sz w:val="18"/>
              </w:rPr>
            </w:pPr>
            <w:r>
              <w:rPr>
                <w:rFonts w:hint="eastAsia"/>
                <w:sz w:val="18"/>
              </w:rPr>
              <w:t>《广告管理条例》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116</w:t>
            </w:r>
          </w:p>
        </w:tc>
        <w:tc>
          <w:tcPr>
            <w:tcW w:w="782" w:type="dxa"/>
            <w:noWrap/>
            <w:vAlign w:val="center"/>
          </w:tcPr>
          <w:p>
            <w:pPr>
              <w:pStyle w:val="10"/>
              <w:jc w:val="center"/>
              <w:rPr>
                <w:rFonts w:ascii="微软雅黑"/>
                <w:sz w:val="18"/>
              </w:rPr>
            </w:pPr>
            <w:r>
              <w:rPr>
                <w:rFonts w:hint="eastAsia" w:ascii="微软雅黑"/>
                <w:sz w:val="18"/>
              </w:rPr>
              <w:t>城市环境卫生管理</w:t>
            </w:r>
          </w:p>
        </w:tc>
        <w:tc>
          <w:tcPr>
            <w:tcW w:w="1833" w:type="dxa"/>
            <w:noWrap/>
            <w:vAlign w:val="center"/>
          </w:tcPr>
          <w:p>
            <w:pPr>
              <w:pStyle w:val="10"/>
              <w:jc w:val="both"/>
              <w:rPr>
                <w:rFonts w:ascii="微软雅黑"/>
                <w:sz w:val="18"/>
              </w:rPr>
            </w:pPr>
            <w:r>
              <w:rPr>
                <w:rFonts w:hint="eastAsia" w:ascii="微软雅黑"/>
                <w:sz w:val="18"/>
              </w:rPr>
              <w:t>城镇所有驻地单位不实行包门前卫生、包绿化美化硬化、包管理的“门前三包制度”</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《内蒙古自治区爱国卫生条例》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117</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物业管理单位发现装修人或者装饰装修企业有违反本办法规定的行为不及时向有关部门报告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《住宅室内装饰装修管理办法》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118</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未经原设计单位或者具有相应资质等级的设计单位提出设计方案，擅自超过设计标准或者规范增加楼面荷载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《住宅室内装饰装修管理办法》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119</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擅自拆改供暖、燃气管道和设施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《住宅室内装饰装修管理办法》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120</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损坏房屋原有节能设施或者降低节能效果</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《住宅室内装饰装修管理办法》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121</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住宅室内装饰装修活动将没有防水要求的房间或者阳台改为卫生间、厨房间的，或者拆除连接阳台的砖、混凝土墙体</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《住宅室内装饰装修管理办法》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122</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修人装修人违反本办法规定，将住宅室内装饰装修工程委托给不具有相应资质等级企业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《住宅室内装饰装修管理办法》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123</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装修人未申报登记进行住宅室内装饰装修活动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《住宅室内装饰装修管理办法》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487" w:type="dxa"/>
            <w:noWrap/>
            <w:vAlign w:val="center"/>
          </w:tcPr>
          <w:p>
            <w:pPr>
              <w:pStyle w:val="10"/>
              <w:jc w:val="center"/>
              <w:rPr>
                <w:rFonts w:ascii="微软雅黑"/>
                <w:sz w:val="18"/>
              </w:rPr>
            </w:pPr>
            <w:r>
              <w:rPr>
                <w:rFonts w:hint="eastAsia" w:ascii="微软雅黑"/>
                <w:sz w:val="18"/>
              </w:rPr>
              <w:t>124</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物业管理区域内擅自在建筑物屋顶、外墙面上安装、悬挂、张贴物品或者涂写、刻画</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125</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物业管理区域内随意倾倒垃圾、杂物，侵占和毁坏绿地</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126</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物业管理区域内擅自设置摊点和集贸市场</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127</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物业管理区域内私设地桩、地锁占用公共绿地、公共道路</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128</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物业管理区域内擅自利用物业共用部位、共用设施设备进行经营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129</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物业管理区域内擅自占用、挖掘物业管理区域内道路、场地，损害业主共同利益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130</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物业管理区域内擅自改变物业管理区域内按照规划建设的公共建筑和共用设施用途</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131</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未经业主大会同意，物业服务企业擅自改变物业管理用房的用途</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132</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建设单位在物业管理区域内不按照规定配置必要的物业管理用房</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133</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挪用专项维修资金</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134</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物业服务企业将一个物业管理区域内的全部物业管理一并委托给他人</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135</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建设单位、物业服务企业不移交有关资料</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136</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建设单位擅自处分属于业主的物业共用部位、共用设施设备的所有权或者使用权</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137</w:t>
            </w:r>
          </w:p>
        </w:tc>
        <w:tc>
          <w:tcPr>
            <w:tcW w:w="782" w:type="dxa"/>
            <w:noWrap/>
            <w:vAlign w:val="center"/>
          </w:tcPr>
          <w:p>
            <w:pPr>
              <w:pStyle w:val="10"/>
              <w:jc w:val="center"/>
              <w:rPr>
                <w:rFonts w:ascii="微软雅黑"/>
                <w:sz w:val="18"/>
              </w:rPr>
            </w:pPr>
            <w:r>
              <w:rPr>
                <w:rFonts w:hint="eastAsia" w:ascii="微软雅黑"/>
                <w:sz w:val="18"/>
              </w:rPr>
              <w:t>物业</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住宅物业的建设单位未通过招投标的方式选聘物业服务企业或者未经批准，擅自采用协议方式选聘物业服务企业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《物业管理条例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138</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开发建设单位未按本办法规定交存首期住宅专项维修资金，开发建设单位或者公有住房售房单位将房屋交付购买人</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《住宅专项维修资金管理办法》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139</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违反本办法第五条的规定，将不准上市出售的已购公有住房和经济适用住房上市出售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ascii="微软雅黑"/>
                <w:sz w:val="18"/>
              </w:rPr>
              <w:t>《已购公有住房和经济适用住房上市出售管理暂行办法》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140</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将已购公有住房和经济适用住房上市出售后，该户家庭又以非法手段按照成本价（或者标准价）购买公有住房或者政府提供优惠政策建设的住房</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《已购公有住房和经济适用住房上市出售管理暂行办法》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141</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房产测绘单位房产面积测算失误的，造成重大损失</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《房产测绘管理办法》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142</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房产测绘单位在房产面积测算中弄虚作假、欺骗房屋权利人</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《房产测绘管理办法》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143</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房产测绘单位在房主面积测算中不执行国有标准、规范和规定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《房产测绘管理办法》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144</w:t>
            </w:r>
          </w:p>
        </w:tc>
        <w:tc>
          <w:tcPr>
            <w:tcW w:w="782" w:type="dxa"/>
            <w:noWrap/>
            <w:vAlign w:val="center"/>
          </w:tcPr>
          <w:p>
            <w:pPr>
              <w:pStyle w:val="10"/>
              <w:ind w:left="180" w:hanging="180" w:hangingChars="100"/>
              <w:rPr>
                <w:rFonts w:ascii="微软雅黑"/>
                <w:sz w:val="18"/>
              </w:rPr>
            </w:pPr>
            <w:r>
              <w:rPr>
                <w:rFonts w:hint="eastAsia" w:ascii="微软雅黑"/>
                <w:sz w:val="18"/>
              </w:rPr>
              <w:t xml:space="preserve"> 房地产管理</w:t>
            </w:r>
          </w:p>
        </w:tc>
        <w:tc>
          <w:tcPr>
            <w:tcW w:w="1833" w:type="dxa"/>
            <w:noWrap/>
            <w:vAlign w:val="center"/>
          </w:tcPr>
          <w:p>
            <w:pPr>
              <w:pStyle w:val="10"/>
              <w:jc w:val="both"/>
              <w:rPr>
                <w:rFonts w:ascii="微软雅黑"/>
                <w:sz w:val="18"/>
              </w:rPr>
            </w:pPr>
            <w:r>
              <w:rPr>
                <w:rFonts w:hint="eastAsia" w:ascii="微软雅黑"/>
                <w:sz w:val="18"/>
              </w:rPr>
              <w:t>委托人在法定评估中未按照法律规定和评估报告载明的使用范围使用评估报告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145</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委托人在法定评估中不如实向评估机构提供权属证明、财务会计信息和其他资料</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146</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委托人在法定评估中串通、唆使评估机构或者评估师出具虚假评估报告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147</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委托人在法定评估中索要、收受或者变相索要、收受回扣</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148</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委托人在法定评估中未依法选择评估机构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149</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评估机构、评估专业人员，在一年内累计三次因违反《中华人民共和国资产评估法》规定受到责令停业、责令停止从业以外处罚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150</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评估机构，出具虚假评估报告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151</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评估机构未按本法规定备案或者不符合本法第十五条规定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152</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评估机构对本机构的评估专业人员疏于管理，造成不良后果</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153</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评估机构聘用或者指定不符合本法规定的人员从事评估业务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154</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评估机构未按本法规定的期限保存评估档案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155</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评估机构出具有重大遗漏的评估报告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156</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评估机构分别接受利益冲突双方的委托，对同一评估对象进行评估</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157</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评估机构受理与自身有利害关系的业务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158</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评估机构以恶性压价、支付回扣、虚假宣传，或者贬损、诋毁其他评估机构等不正当手段招揽业务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159</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评估机构允许其他机构以本机构名义开展业务，或者冒用其他机构名义开展业务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160</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评估机构利用开展业务之便，谋取不正当利益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161</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评估专业人员，签署虚假评估报告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162</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评估专业人员索要、收受或者变相索要、收受合同约定以外的酬金、财物，或者谋取其他不正当利益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163</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评估专业人员签署本人未承办业务的评估报告或者有重大遗漏的评估报告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164</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评估专业人员允许他人以本人名义从事业务，或者冒用他人名义从事业务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165</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评估专业人员采用欺骗、利诱、胁迫，或者贬损、诋毁其他评估专业人员等不正当手段招揽业务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166</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评估专业人员同时在两个以上评估机构从事业务的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167</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评估专业人员私自接受委托从事业务、收取费用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《中华人民共和国资产评估法》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168</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房地产经纪机构和房地产经纪人员为不符合交易条件的保障性住房和禁止交易的房屋提供经纪服务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169</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房地产经纪机构和房地产经纪人员承购、承租自己提供经纪服务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170</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房地产经纪机构和房地产经纪人员侵占、挪用房地产交易资金</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171</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房地产经纪机构和房地产经纪人员改变房屋内部结构分割出租的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172</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房地产经纪机构和房地产经纪人员为交易当事人规避房屋交易税费等非法目的，就同一房屋签订不同交易价款的合同提供便利</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173</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房地产经纪机构和房地产经纪人员泄露或者不当使用委托人的个人信息或者商业秘密，谋取不正当利益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174</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房地产经纪机构和房地产经纪人员以隐瞒、欺诈、胁迫、贿赂等不正当手段招揽业务，诱骗消费者交易或者强制交易</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175</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房地产经纪机构擅自划转客户交易结算资金</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176</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房地产经纪机构擅自对外发布房源信息</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177</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房地产经纪机构未按照规定如实记录业务情况或者保存房地产经纪服务合同</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178</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房地产经纪机构签订房地产经纪服务合同前，不向交易当事人说明和书面告知规定事项</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179</w:t>
            </w:r>
          </w:p>
        </w:tc>
        <w:tc>
          <w:tcPr>
            <w:tcW w:w="782" w:type="dxa"/>
            <w:noWrap/>
            <w:vAlign w:val="center"/>
          </w:tcPr>
          <w:p>
            <w:pPr>
              <w:pStyle w:val="10"/>
              <w:jc w:val="center"/>
              <w:rPr>
                <w:rFonts w:ascii="微软雅黑"/>
                <w:sz w:val="18"/>
              </w:rPr>
            </w:pPr>
            <w:r>
              <w:rPr>
                <w:rFonts w:hint="eastAsia" w:ascii="微软雅黑"/>
                <w:sz w:val="18"/>
              </w:rPr>
              <w:t>房地产</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房地产经纪服务合同未由从事该业务的一名房地产经纪人或者两名房地产经纪人协理签名</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《房地产经纪管理办法》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180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建设工程质量检测试验单位出据虚假检测、试验报告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181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设计单位未按照工程建设强制性标准进行设计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《建设工程勘察设计管理条例》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182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设计单位指定建筑材料、建筑构配件的生产厂、供应商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《建设工程勘察设计管理条例》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183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设计单位未根据勘察成果文件进行工程设计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《建设工程勘察设计管理条例》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184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勘察单位未按照工程建设强制性标准进行勘察</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《建设工程勘察设计管理条例》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185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勘察、设计、施工、工程监理单位允许其他单位或者个人以本单位名义承揽工程</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186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建设工程竣工验收后，建设单位未向建设行政主管部门或者其他有关部门移交建设项目档案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187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建设单位对不合格的建设工程按照合格工程验收</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188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建设单位未组织竣工验收或验收不合格，擅自交付使用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《内蒙古自治区建设工程质量管理条例》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189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建设单位未按照国家规定将竣工验收报告、有关认可文件或者准许使用文件报送备案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190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建设单位明示或者暗示施工单位使用不合格的建筑材料、建筑构配件和设备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《实施工程建设强制性标准监督规定》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191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建设单位开工前不办理工程质量监督手续，不按规定设置工程质量管理机构或者配备工程质量管理人员</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《实施工程建设强制性标准监督规定》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192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建设单位建设项目必须实行工程监理而未实行工程监理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193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建设单位施工图设计文件未经审查或者审查不合格，擅自施工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194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建设单位明示或者暗示设计单位或者施工单位违反工程建设强制性标准，降低工程质量</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《实施工程建设强制性标准监督规定》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195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建设单位任意压缩合理工期</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196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建设单位迫使承包方以低于成本</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197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建筑施工企业违反本法规定，不履行保修义务或者拖延履行保修义务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《内蒙古自治区建设工程质量管理条例》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198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建筑施工企业在施工中偷工减料的，使用不合格的建筑材料、建筑构配件和设备的，或者有其他不按照工程设计图纸或者施工技术标准施工的行为</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《内蒙古自治区建设工程质量管理条例》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199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建筑设计单位不按照建筑工程质量、安全标准进行设计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《内蒙古自治区建设工程质量管理条例》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200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建设单位违反本法规定，要求建筑设计单位或者建筑施工企业违反建筑质量、安全标准，降低工程质量</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《内蒙古自治区建设工程质量管理条例》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201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违反本法规定，涉及建筑主体或者承重结构变动的装修工程擅自施工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《内蒙古自治区建设工程质量管理条例》</w:t>
            </w:r>
          </w:p>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4" w:lineRule="auto"/>
              <w:ind w:right="157"/>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202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工程监理单位转让监理业务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203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工程监理单位与建设单位或者建筑施工企业串通，弄虚作假、降低工程质量</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204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在工程发包与承包中索贿、受贿、行贿</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205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承包单位将承包的工程转包，或者违反本法规定进行分包</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206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建筑施工企业转让、出借资质证书或者以其他方式允许他人以本企业的名义承揽工程</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207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以欺骗手段取得资质证书</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《建设工程勘察设计管理条例》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208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未取得资质证书承揽工程</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《建设工程勘察设计管理条例》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209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超越本单位资质等级承揽工程</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210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发包单位将工程发包给不具有相应资质条件的承包单位的，或者违反本法规定将建筑工程肢解发包</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211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建设单位隐瞒有关情况或者提供虚假材料申请施工许可证；建设单位伪造或者涂改施工许可证</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《建筑工程施工许可管理办法》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212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建设单位采用欺骗、贿赂等不正当手段取得施工许可证</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《建筑工程施工许可管理办法》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213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未取得施工许可证或者开工报告未经批准擅自施工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《中华人民共和国建筑法》</w:t>
            </w:r>
          </w:p>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《建筑工程施工许可管理办法》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214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注册执业人员未执行民用建筑节能强制性标准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215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房地产开发企业销售商品房，未向购买人明示所售商品房的能源消耗指标、节能措施和保护要求、保温工程保修期等信息，或者向购买人明示的所售商品房能源消耗指标与实际能源消耗不符</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216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未按照节能设计进行施工的施工单位</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217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工程监理单位墙体、屋面的保温工程施工时，未采取旁站、巡视和平行检验等形式实施监理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218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工程监理单位未按照民用建筑节能强制性标准实施监理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219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施工单位使用列入禁止使用目录的技术、工艺、材料和设备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220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施工单位使用不符合施工图设计文件要求的墙体材料、保温材料、门窗、采暖制冷系统和照明设备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221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施工单位未对进入施工现场的墙体材料、保温材料、门窗、采暖制冷系统和照明设备进行查验</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222</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施工单位未按照民用建筑节能强制性标准进行施工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223</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设计单位未按照民用建筑节能强制性标准进行设计，或者使用列入禁止使用目录的技术、工艺、材料和设备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p>
            <w:pPr>
              <w:pStyle w:val="10"/>
              <w:spacing w:line="324" w:lineRule="auto"/>
              <w:ind w:right="157"/>
              <w:jc w:val="both"/>
              <w:rPr>
                <w:sz w:val="18"/>
              </w:rPr>
            </w:pPr>
            <w:r>
              <w:rPr>
                <w:rFonts w:hint="eastAsia"/>
                <w:sz w:val="18"/>
              </w:rPr>
              <w:t>《民用建筑节能管理规定》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224</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建设单位对不符合民用建筑节能强制性标准的民用建筑项目出具竣工验收合格报告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225</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建设单位使用列入禁止使用目录的技术、工艺、材料和设备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226</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建设单位采购不符合施工图设计文件要求的墙体材料、保温材料、门窗、采暖制冷系统和照明设备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227</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建设单位明示或者暗示施工单位使用不符合施工图设计文件要求的墙体材料、保温材料、门窗、采暖制冷系统和照明设备</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228</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建设单位未按照建筑节能强制性标准委托设计，擅自修改节能设计文件，明示或者暗示设计单位、施工单位违反民用建筑节能强制性标准进行设计、施工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p>
            <w:pPr>
              <w:pStyle w:val="10"/>
              <w:spacing w:line="324" w:lineRule="auto"/>
              <w:ind w:right="157"/>
              <w:jc w:val="both"/>
              <w:rPr>
                <w:sz w:val="18"/>
              </w:rPr>
            </w:pPr>
            <w:r>
              <w:rPr>
                <w:rFonts w:hint="eastAsia"/>
                <w:sz w:val="18"/>
              </w:rPr>
              <w:t>《民用建筑节能管理规定》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229</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房地产开发企业违反本法规定，在销售房屋时未向购买人明示所售房屋的能源消耗指标、节能措施和保护要求、保温工程保修期等信息，或者向购买人明示的所售商品房能源消耗指标与实际能源消耗不符</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《民用建筑节能条例》</w:t>
            </w:r>
          </w:p>
          <w:p>
            <w:pPr>
              <w:pStyle w:val="10"/>
              <w:spacing w:line="324" w:lineRule="auto"/>
              <w:ind w:right="157"/>
              <w:jc w:val="both"/>
              <w:rPr>
                <w:sz w:val="18"/>
              </w:rPr>
            </w:pPr>
            <w:r>
              <w:rPr>
                <w:rFonts w:hint="eastAsia"/>
                <w:sz w:val="18"/>
              </w:rPr>
              <w:t>《民用建筑节能管理规定》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230</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设计单位、施工单位、监理单位违反建筑节能标准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《中华人民共和国节约能源法》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231</w:t>
            </w:r>
          </w:p>
        </w:tc>
        <w:tc>
          <w:tcPr>
            <w:tcW w:w="782" w:type="dxa"/>
            <w:noWrap/>
            <w:vAlign w:val="center"/>
          </w:tcPr>
          <w:p>
            <w:pPr>
              <w:pStyle w:val="10"/>
              <w:jc w:val="center"/>
              <w:rPr>
                <w:rFonts w:ascii="微软雅黑"/>
                <w:sz w:val="18"/>
              </w:rPr>
            </w:pPr>
            <w:r>
              <w:rPr>
                <w:rFonts w:hint="eastAsia" w:ascii="微软雅黑"/>
                <w:sz w:val="18"/>
              </w:rPr>
              <w:t>工程</w:t>
            </w:r>
          </w:p>
          <w:p>
            <w:pPr>
              <w:pStyle w:val="10"/>
              <w:jc w:val="center"/>
              <w:rPr>
                <w:rFonts w:ascii="微软雅黑"/>
                <w:sz w:val="18"/>
              </w:rPr>
            </w:pPr>
            <w:r>
              <w:rPr>
                <w:rFonts w:hint="eastAsia" w:ascii="微软雅黑"/>
                <w:sz w:val="18"/>
              </w:rPr>
              <w:t>管理</w:t>
            </w:r>
          </w:p>
        </w:tc>
        <w:tc>
          <w:tcPr>
            <w:tcW w:w="1833" w:type="dxa"/>
            <w:noWrap/>
            <w:vAlign w:val="center"/>
          </w:tcPr>
          <w:p>
            <w:pPr>
              <w:pStyle w:val="10"/>
              <w:jc w:val="both"/>
              <w:rPr>
                <w:rFonts w:ascii="微软雅黑"/>
                <w:sz w:val="18"/>
              </w:rPr>
            </w:pPr>
            <w:r>
              <w:rPr>
                <w:rFonts w:hint="eastAsia" w:ascii="微软雅黑"/>
                <w:sz w:val="18"/>
              </w:rPr>
              <w:t>建设单位违反建筑节能标准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《中华人民共和国节约能源法》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232</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任何单位和个人其他可能影响城市照明设施正常运行的行为</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《城市照明管理规定》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233</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任何单位和个人擅自迁移、拆除、利用城市照明设施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《城市照明管理规定》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234</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任何单位和个人擅自在城市照明设施上架设线缆、安置其它设施或者接用电源</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《城市照明管理规定》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235</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任何单位和个人擅自在城市照明设施上张贴、悬挂、设置宣传品、广告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《城市照明管理规定》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236</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任何单位和个人在城市照明设施安全距离内，擅自植树、挖坑取土或者设置其他物体，或者倾倒含酸、碱、盐等腐蚀物或者具有腐蚀性的废渣、废液</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《城市照明管理规定》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237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任何单位和个人在城市照明设施上刻划、涂污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《城市照明管理规定》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238</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在城市景观照明中有过度照明等超能耗标准行为</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《城市照明管理规定》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239</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不具备相应资质的单位和不具备相应执业资格证书的专业技术人员从事城市照明工程勘察、设计、施工、监理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《城市照明管理规定》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240</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超限机动车辆、履带车、铁轮车等未采取相应技术措施擅自经过城市桥梁</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《城市桥梁检测和养护维修管理办法》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241</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单位和个人擅自在城市桥梁施工控制范围内河道疏浚、挖掘、打桩、地下管道顶进、爆破等作业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《城市桥梁检测和养护维修管理办法》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242</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单位或者个人擅自在城市桥梁上架设各类管线、设置广告等辅助物</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《城市桥梁检测和养护维修管理办法》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243</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城市桥梁产权人或者委托管理人未按照规定对城市桥梁进行养护维修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《城市桥梁检测和养护维修管理办法》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244</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城市桥梁产权人或者委托管理人未按照规定制定城市桥梁的安全抢险预备方案</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《城市桥梁检测和养护维修管理办法》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245</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城市桥梁产权人或者委托管理人未按照规定委托具有相应资格的机构对城市桥梁进行检测评估</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《城市桥梁检测和养护维修管理办法》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246</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城市桥梁产权人或者委托管理人未按照规定设置相应的标志，并保持其完好、清晰</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《城市桥梁检测和养护维修管理办法》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247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城市桥梁产权人或者委托管理人未按照规定编制城市桥梁养护维修的中长期规划和年度计划，或者未经批准即实施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《城市桥梁检测和养护维修管理办法》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248</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建设工程施工可能影响供热设施安全而未采取相应安全保护措施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249</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任何单位或者个人违反本条例规定，擅自改装、移动、覆盖、拆除、损坏供热设施和供热安全警示识别标志</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250</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新建建筑供热系统未安装分户控制装置、温度调控装置和热计量装置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251</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热用户在供热管道上安装管道泵等改变用热运行方式</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252</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热用户未经供热单位同意，擅自改动供热管道、增设散热器或者改变用热性质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253</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热用户从供热设施中取用供热循环水</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254</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热用户在室内供热设施上安装换热装置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255</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发现供热事故或者接到供热事故报告后未立即抢修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256</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热源单位或者供热单位未按照规定给予热用户补偿或者退还热费</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257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热源单位或者供热单位在采暖期内未安全、稳定、连续、保质保量供热或者擅自停止供热</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258</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热源单位或者供热单位未经批准擅自停业或者歇业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259</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未取得供热经营许可证从事供热经营活动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《内蒙古自治区城镇供热条例》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260</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擅自拆除、改装或者迁移城市公共供水设施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261</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在城市公共供水管道上直接装泵抽水</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262</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产生或者使用有毒有害物质的单位将其生产用水管网系统与城市公共供水管网系统直接连接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263</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擅自将自建设施供水管网系统与城市公共供水管网系统直接连接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264</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在规定的城市公共供水管道及其附属设施的安全保护范围内进行危害供水设施安全活动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265</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盗用或者转供城市公共供水</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266</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违反城市供水发展规划及其年度建设计划兴建城市供水工程</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267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未按照国家规定的技术标准和规范进行城市供水工程的设计或者施工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268</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无证或者超越资质证书规定的经营范围进行城市供水工程的设计或者施工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269</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城市自来水供水企业或者自建设施对外供水的企业未按照规定检修供水设施或者在供水设施发生故障后未及时抢修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270</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城市自来水供水企业或者自建设施对外供水的企业擅自停止供水或者未履行停水通知义务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271</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城市自来水供水企业或者自建设施对外供水的企业供水水质、水压不符合国家规定标准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《城市供水条例》</w:t>
            </w:r>
          </w:p>
          <w:p>
            <w:pPr>
              <w:pStyle w:val="10"/>
              <w:spacing w:line="324" w:lineRule="auto"/>
              <w:ind w:right="157"/>
              <w:jc w:val="both"/>
              <w:rPr>
                <w:sz w:val="18"/>
              </w:rPr>
            </w:pPr>
            <w:r>
              <w:rPr>
                <w:rFonts w:hint="eastAsia"/>
                <w:sz w:val="18"/>
              </w:rPr>
              <w:t>《内蒙古自治区城市供水实施办法》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272</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排水户名称、法定代表人等其他事项变更，未按本办法规定及时向城镇排水主管部门申请办理变更</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《城镇污水排入排水管网许可管理办法》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273</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排水户因发生事故或者其他突发事件，排放的污水可能危及城镇排水与污水处理设施安全运行，没有立即停止排放，未采取措施消除危害，或者并未按规定及时向城镇排水主管部门等有关部门报告</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《城镇污水排入排水管网许可管理办法》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274</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排水户以欺骗、贿赂等不正当手段取得排水许可</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《城镇污水排入排水管网许可管理办法》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275</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擅自拆除、改动城镇排水与污水处理设施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276</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有关单位未与施工单位、设施维护运营单位等共同制定设施保护方案，并采取相应的安全防护措施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277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违反本条例规定，从事危及城镇排水与污水处理设施安全的活动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278</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城镇排水与污水处理设施维护运营单位因巡查、维护不到位，导致窨井盖丢失、损毁，造成人员伤亡和财产损失</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279</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城镇排水与污水处理设施维护运营单位未及时采取防护措施、组织事故抢修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280</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城镇排水与污水处理设施维护运营单位未按照国家有关规定履行日常巡查、维修和养护责任，保障设施安全运行</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281</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排水单位或者个人不缴纳污水处理费的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282</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擅自倾倒、堆放、丢弃、遗撒污泥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283</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城镇污水处理设施维护运营单位或者污泥处理处置单位对产生的污泥以及处理处置后的污泥的去向、用途、用量等未进行跟踪、记录的，或者处理处置后的污泥不符合国家有关标准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284</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城镇污水处理设施维护运营单位擅自停运城镇污水处理设施，未按照规定事先报告或者采取应急处理措施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jc w:val="both"/>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285</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城镇污水处理设施维护运营单位未按照国家有关规定检测进出水水质的，或者未报送污水处理水质和水量、主要污染物削减量等信息和生产运营成本等信息</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jc w:val="both"/>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Pr>
        <w:widowControl/>
        <w:autoSpaceDE/>
        <w:autoSpaceDN/>
      </w:pPr>
      <w:r>
        <w:br w:type="page"/>
      </w:r>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286</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因城镇排水设施维护或者检修可能对排水造成影响或者严重影响，城镇排水设施维护运营单位未提前通知相关排水户</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287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排水户不按照污水排入排水管网许可证的要求排放污水</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jc w:val="both"/>
              <w:rPr>
                <w:sz w:val="18"/>
              </w:rPr>
            </w:pPr>
            <w:r>
              <w:rPr>
                <w:rFonts w:hint="eastAsia"/>
                <w:sz w:val="18"/>
              </w:rPr>
              <w:t>《城镇排水与污水处理条例》</w:t>
            </w:r>
          </w:p>
          <w:p>
            <w:pPr>
              <w:jc w:val="both"/>
            </w:pPr>
            <w:r>
              <w:rPr>
                <w:rFonts w:hint="eastAsia"/>
                <w:sz w:val="18"/>
              </w:rPr>
              <w:t>《城镇污水排入排水管网许可管理办法》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lang w:val="en-US"/>
              </w:rPr>
            </w:pP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288</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排水户未取得污水排入排水管网许可证向城镇排水设施排放污水</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jc w:val="both"/>
              <w:rPr>
                <w:sz w:val="18"/>
              </w:rPr>
            </w:pPr>
            <w:r>
              <w:rPr>
                <w:rFonts w:hint="eastAsia"/>
                <w:sz w:val="18"/>
              </w:rPr>
              <w:t>《城镇排水与污水处理条例》</w:t>
            </w:r>
          </w:p>
          <w:p>
            <w:pPr>
              <w:jc w:val="both"/>
            </w:pPr>
            <w:r>
              <w:rPr>
                <w:rFonts w:hint="eastAsia"/>
                <w:sz w:val="18"/>
              </w:rPr>
              <w:t>《城镇污水排入排水管网许可管理办法》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289</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城镇排水与污水处理设施覆盖范围内的排水单位和个人，未按照国家有关规定将污水排入城镇排水设施，或者在雨水、污水分流地区将污水排入雨水管网</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jc w:val="both"/>
              <w:rPr>
                <w:sz w:val="18"/>
              </w:rPr>
            </w:pPr>
            <w:r>
              <w:rPr>
                <w:rFonts w:hint="eastAsia"/>
                <w:sz w:val="18"/>
              </w:rPr>
              <w:t>《城镇排水与污水处理条例》</w:t>
            </w:r>
          </w:p>
          <w:p>
            <w:pPr>
              <w:pStyle w:val="10"/>
              <w:spacing w:line="324" w:lineRule="auto"/>
              <w:ind w:right="157"/>
              <w:jc w:val="both"/>
              <w:rPr>
                <w:sz w:val="18"/>
              </w:rPr>
            </w:pPr>
            <w:r>
              <w:rPr>
                <w:rFonts w:hint="eastAsia"/>
                <w:sz w:val="18"/>
              </w:rPr>
              <w:t>《城镇污水排入排水管网许可管理办法》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290</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在雨水、污水分流地区，建设单位、施工单位将雨水管网、污水管网相互混接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jc w:val="both"/>
              <w:rPr>
                <w:sz w:val="18"/>
              </w:rPr>
            </w:pPr>
            <w:r>
              <w:rPr>
                <w:rFonts w:hint="eastAsia"/>
                <w:sz w:val="18"/>
              </w:rPr>
              <w:t>《城镇排水与污水处理条例》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291</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建设工程施工范围内有地下燃气管线等重要燃气设施，建设单位未会同施工单位与管道燃气经营者共同制定燃气设施保护方案，或者建设单位、施工单位未采取相应的安全保护措施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292</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毁损、覆盖、涂改、擅自拆除或者移动燃气设施安全警示标志</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293</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侵占、毁损、擅自拆除、移动燃气设施或者擅自改动市政燃气设施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294</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在燃气设施保护范围内建设占压地下燃气管线的建筑物、构筑物或者其他设施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295</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未与燃气经营者共同制定燃气设施保护方案，采取相应的安全保护措施，从事敷设管道、打桩、顶进、挖掘、钻探等可能影响燃气设施安全活动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296</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在燃气设施保护范围内放置易燃易爆物品或者种植深根植物</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297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在燃气设施保护范围内倾倒、排放腐蚀性物质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298</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燃气设施保护范围内进行爆破、取土等作业或者动用明火的处罚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299</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燃气用户及相关单位和个人燃气燃烧器具的安装、维修不符合国家有关标准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300</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燃气用户及相关单位和个人未设立售后服务站点或者未配备经考核合格的燃气燃烧器具安装、维修人员</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301</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燃气用户及相关单位和个人改变燃气用途或者转供燃气</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302</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燃气用户及相关单位和个人在不具备安全条件的场所使用、储存燃气</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303</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燃气用户及相关单位和个人擅自安装、改装、拆除户内燃气设施和燃气计量装置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304</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燃气用户及相关单位和个人安装、使用不符合气源要求的燃气燃烧器具</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305</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燃气用户及相关单位和个人将燃气管道作为负重支架或者接地引线</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306</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燃气用户及相关单位和个人擅自操作公用燃气阀门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307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燃气经营者未按照国家有关工程建设标准和安全生产管理的规定，设置燃气设施防腐、绝缘、防雷、降压、隔离等保护装置和安全警示标志</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308</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冒用其他企业名称或者标识从事燃气经营、服务活动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309</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销售充装单位擅自为非自有气瓶充装的瓶装燃气</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310</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擅自为非自有气瓶充装燃气或者销售未经许可的充装单位充装的瓶装燃气</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311</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燃气经营者未向燃气用户持续、稳定、安全供应符合国家质量标准的燃气，或者未对燃气用户的燃气设施定期进行安全检查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312</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燃气经营者要求燃气用户购买其指定的产品或者接受其提供的服务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313</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燃气经营者在不具备安全条件的场所储存燃气</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314</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燃气经营者向未取得燃气经营许可证的单位或者个人提供用于经营的燃气</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315</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燃气经营者未履行必要告知义务擅自停止供气、调整供气量，或者未经审批擅自停业或者歇业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316</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燃气经营者倒卖、抵押、出租、出借、转让、涂改燃气经营许可证</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317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燃气经营者拒绝向市政燃气管网覆盖范围内符合用气条件的单位或者个人供气</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318</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燃气经营者不按照燃气经营许可证的规定从事燃气经营活动的处罚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319</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未取得燃气经营许可证从事燃气经营活动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《城镇燃气管理条例》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320</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擅自在动物园内摆摊设点</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《城市动物园管理规定》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321</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从事无照经营的</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《无证无照经营查处办法》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322</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从事城市生活垃圾经营性清扫、收集、运输的企业，未经批准擅自停业、歇业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《城市生活垃圾管理办法》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323</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城市生活垃圾经营性处置企业不履行本办法第二十八条规定义务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《城市生活垃圾管理办法》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324</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从事生活垃圾经营性清扫、收集、运输的企业不履行本办法第二十条规定义务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《城市生活垃圾管理办法》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325</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未经批准从事城市生活垃圾经营性清扫、收集、运输或者处置活动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《城市生活垃圾管理办法》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326</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城市生活垃圾处置设施未经验收或者验收不合格投入使用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《城市生活垃圾管理办法》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327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未按照城市生活垃圾治理规划和环境卫生设施标准配套建设城市生活垃圾收集设施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《城市生活垃圾管理办法》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328</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单位和个人未按规定缴纳城市生活垃圾处理费</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《城市生活垃圾管理办法》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329</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在运输过程中沿途丢弃、遗撒生活垃圾</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《城市生活垃圾管理办法》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330</w:t>
            </w:r>
          </w:p>
        </w:tc>
        <w:tc>
          <w:tcPr>
            <w:tcW w:w="782" w:type="dxa"/>
            <w:noWrap/>
            <w:vAlign w:val="center"/>
          </w:tcPr>
          <w:p>
            <w:pPr>
              <w:pStyle w:val="10"/>
              <w:jc w:val="center"/>
              <w:rPr>
                <w:sz w:val="18"/>
              </w:rPr>
            </w:pPr>
            <w:r>
              <w:rPr>
                <w:rFonts w:hint="eastAsia"/>
                <w:sz w:val="18"/>
              </w:rPr>
              <w:t>固体废弃物污染</w:t>
            </w:r>
            <w:r>
              <w:rPr>
                <w:sz w:val="18"/>
              </w:rPr>
              <w:t>管理</w:t>
            </w:r>
          </w:p>
        </w:tc>
        <w:tc>
          <w:tcPr>
            <w:tcW w:w="1833" w:type="dxa"/>
            <w:noWrap/>
            <w:vAlign w:val="center"/>
          </w:tcPr>
          <w:p>
            <w:pPr>
              <w:pStyle w:val="10"/>
              <w:jc w:val="both"/>
              <w:rPr>
                <w:rFonts w:ascii="微软雅黑"/>
                <w:sz w:val="18"/>
              </w:rPr>
            </w:pPr>
            <w:r>
              <w:rPr>
                <w:rFonts w:hint="eastAsia" w:ascii="微软雅黑"/>
                <w:sz w:val="18"/>
              </w:rPr>
              <w:t>畜禽养殖场、养殖小区利用未经无害化处理的厨余垃圾饲喂畜禽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《中华人民共和国固体废物污染环境防治法》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331</w:t>
            </w:r>
          </w:p>
        </w:tc>
        <w:tc>
          <w:tcPr>
            <w:tcW w:w="782" w:type="dxa"/>
            <w:noWrap/>
            <w:vAlign w:val="center"/>
          </w:tcPr>
          <w:p>
            <w:pPr>
              <w:pStyle w:val="10"/>
              <w:jc w:val="center"/>
              <w:rPr>
                <w:rFonts w:ascii="微软雅黑"/>
                <w:sz w:val="18"/>
              </w:rPr>
            </w:pPr>
            <w:r>
              <w:rPr>
                <w:rFonts w:hint="eastAsia"/>
                <w:sz w:val="18"/>
              </w:rPr>
              <w:t>固体废弃物污染</w:t>
            </w:r>
            <w:r>
              <w:rPr>
                <w:sz w:val="18"/>
              </w:rPr>
              <w:t>管理</w:t>
            </w:r>
          </w:p>
        </w:tc>
        <w:tc>
          <w:tcPr>
            <w:tcW w:w="1833" w:type="dxa"/>
            <w:noWrap/>
            <w:vAlign w:val="center"/>
          </w:tcPr>
          <w:p>
            <w:pPr>
              <w:pStyle w:val="10"/>
              <w:jc w:val="both"/>
              <w:rPr>
                <w:rFonts w:ascii="微软雅黑"/>
                <w:sz w:val="18"/>
              </w:rPr>
            </w:pPr>
            <w:r>
              <w:rPr>
                <w:rFonts w:hint="eastAsia" w:ascii="微软雅黑"/>
                <w:sz w:val="18"/>
              </w:rPr>
              <w:t>产生、收集厨余垃圾的单位和其他生产经营者未将厨余垃圾交由具备相应资质条件的单位进行无害化处理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《中华人民共和国固体废物污染环境防治法》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332</w:t>
            </w:r>
          </w:p>
        </w:tc>
        <w:tc>
          <w:tcPr>
            <w:tcW w:w="782" w:type="dxa"/>
            <w:noWrap/>
            <w:vAlign w:val="center"/>
          </w:tcPr>
          <w:p>
            <w:pPr>
              <w:pStyle w:val="10"/>
              <w:jc w:val="center"/>
              <w:rPr>
                <w:rFonts w:ascii="微软雅黑"/>
                <w:sz w:val="18"/>
              </w:rPr>
            </w:pPr>
            <w:r>
              <w:rPr>
                <w:rFonts w:hint="eastAsia"/>
                <w:sz w:val="18"/>
              </w:rPr>
              <w:t>固体废弃物污染</w:t>
            </w:r>
            <w:r>
              <w:rPr>
                <w:sz w:val="18"/>
              </w:rPr>
              <w:t>管理</w:t>
            </w:r>
          </w:p>
        </w:tc>
        <w:tc>
          <w:tcPr>
            <w:tcW w:w="1833" w:type="dxa"/>
            <w:noWrap/>
            <w:vAlign w:val="center"/>
          </w:tcPr>
          <w:p>
            <w:pPr>
              <w:pStyle w:val="10"/>
              <w:jc w:val="both"/>
              <w:rPr>
                <w:rFonts w:ascii="微软雅黑"/>
                <w:sz w:val="18"/>
              </w:rPr>
            </w:pPr>
            <w:r>
              <w:rPr>
                <w:rFonts w:hint="eastAsia" w:ascii="微软雅黑"/>
                <w:sz w:val="18"/>
              </w:rPr>
              <w:t>工程施工单位擅自倾倒、抛撒或者堆放工程施工过程中产生的建筑垃圾，或者未按照规定对施工过程中产生的固体废物进行利用或者处置</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《中华人民共和国固体废物污染环境防治法》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333</w:t>
            </w:r>
          </w:p>
        </w:tc>
        <w:tc>
          <w:tcPr>
            <w:tcW w:w="782" w:type="dxa"/>
            <w:noWrap/>
            <w:vAlign w:val="center"/>
          </w:tcPr>
          <w:p>
            <w:pPr>
              <w:pStyle w:val="10"/>
              <w:jc w:val="center"/>
              <w:rPr>
                <w:rFonts w:ascii="微软雅黑"/>
                <w:sz w:val="18"/>
              </w:rPr>
            </w:pPr>
            <w:r>
              <w:rPr>
                <w:rFonts w:hint="eastAsia"/>
                <w:sz w:val="18"/>
              </w:rPr>
              <w:t>固体废弃物污染</w:t>
            </w:r>
            <w:r>
              <w:rPr>
                <w:sz w:val="18"/>
              </w:rPr>
              <w:t>管理</w:t>
            </w:r>
          </w:p>
        </w:tc>
        <w:tc>
          <w:tcPr>
            <w:tcW w:w="1833" w:type="dxa"/>
            <w:noWrap/>
            <w:vAlign w:val="center"/>
          </w:tcPr>
          <w:p>
            <w:pPr>
              <w:pStyle w:val="10"/>
              <w:jc w:val="both"/>
              <w:rPr>
                <w:rFonts w:ascii="微软雅黑"/>
                <w:sz w:val="18"/>
              </w:rPr>
            </w:pPr>
            <w:r>
              <w:rPr>
                <w:rFonts w:hint="eastAsia" w:ascii="微软雅黑"/>
                <w:sz w:val="18"/>
              </w:rPr>
              <w:t>工程施工单位未编制建筑垃圾处理方案报备案，或者未及时清运施工过程中产生的固体废物</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《中华人民共和国固体废物污染环境防治法》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334</w:t>
            </w:r>
          </w:p>
        </w:tc>
        <w:tc>
          <w:tcPr>
            <w:tcW w:w="782" w:type="dxa"/>
            <w:noWrap/>
            <w:vAlign w:val="center"/>
          </w:tcPr>
          <w:p>
            <w:pPr>
              <w:pStyle w:val="10"/>
              <w:jc w:val="center"/>
              <w:rPr>
                <w:rFonts w:ascii="微软雅黑"/>
                <w:sz w:val="18"/>
              </w:rPr>
            </w:pPr>
            <w:r>
              <w:rPr>
                <w:rFonts w:hint="eastAsia"/>
                <w:sz w:val="18"/>
              </w:rPr>
              <w:t>固体废弃物污染</w:t>
            </w:r>
            <w:r>
              <w:rPr>
                <w:sz w:val="18"/>
              </w:rPr>
              <w:t>管理</w:t>
            </w:r>
          </w:p>
        </w:tc>
        <w:tc>
          <w:tcPr>
            <w:tcW w:w="1833" w:type="dxa"/>
            <w:noWrap/>
            <w:vAlign w:val="center"/>
          </w:tcPr>
          <w:p>
            <w:pPr>
              <w:pStyle w:val="10"/>
              <w:jc w:val="both"/>
              <w:rPr>
                <w:rFonts w:ascii="微软雅黑"/>
                <w:sz w:val="18"/>
              </w:rPr>
            </w:pPr>
            <w:r>
              <w:rPr>
                <w:rFonts w:hint="eastAsia" w:ascii="微软雅黑"/>
                <w:sz w:val="18"/>
              </w:rPr>
              <w:t>擅自关闭、闲置或者拆除生活垃圾处置设施、场所</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《中华人民共和国固体废物污染环境防治法》</w:t>
            </w:r>
          </w:p>
          <w:p>
            <w:pPr>
              <w:pStyle w:val="10"/>
              <w:spacing w:line="324" w:lineRule="auto"/>
              <w:ind w:right="157"/>
              <w:jc w:val="both"/>
              <w:rPr>
                <w:sz w:val="18"/>
              </w:rPr>
            </w:pPr>
            <w:r>
              <w:rPr>
                <w:rFonts w:hint="eastAsia"/>
                <w:sz w:val="18"/>
              </w:rPr>
              <w:t>《城市生活垃圾管理办法》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335</w:t>
            </w:r>
          </w:p>
        </w:tc>
        <w:tc>
          <w:tcPr>
            <w:tcW w:w="782" w:type="dxa"/>
            <w:noWrap/>
            <w:vAlign w:val="center"/>
          </w:tcPr>
          <w:p>
            <w:pPr>
              <w:pStyle w:val="10"/>
              <w:jc w:val="center"/>
              <w:rPr>
                <w:rFonts w:ascii="微软雅黑"/>
                <w:sz w:val="18"/>
              </w:rPr>
            </w:pPr>
            <w:r>
              <w:rPr>
                <w:rFonts w:hint="eastAsia"/>
                <w:sz w:val="18"/>
              </w:rPr>
              <w:t>固体废弃物污染</w:t>
            </w:r>
            <w:r>
              <w:rPr>
                <w:sz w:val="18"/>
              </w:rPr>
              <w:t>管理</w:t>
            </w:r>
          </w:p>
        </w:tc>
        <w:tc>
          <w:tcPr>
            <w:tcW w:w="1833" w:type="dxa"/>
            <w:noWrap/>
            <w:vAlign w:val="center"/>
          </w:tcPr>
          <w:p>
            <w:pPr>
              <w:pStyle w:val="10"/>
              <w:jc w:val="both"/>
              <w:rPr>
                <w:rFonts w:ascii="微软雅黑"/>
                <w:sz w:val="18"/>
              </w:rPr>
            </w:pPr>
            <w:r>
              <w:rPr>
                <w:rFonts w:hint="eastAsia" w:ascii="微软雅黑"/>
                <w:sz w:val="18"/>
              </w:rPr>
              <w:t>随意倾倒、抛撒、堆放或者焚烧生活垃圾</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《中华人民共和国固体废物污染环境防治法》</w:t>
            </w:r>
          </w:p>
          <w:p>
            <w:pPr>
              <w:pStyle w:val="10"/>
              <w:spacing w:line="324" w:lineRule="auto"/>
              <w:ind w:right="157"/>
              <w:jc w:val="both"/>
              <w:rPr>
                <w:sz w:val="18"/>
              </w:rPr>
            </w:pPr>
            <w:r>
              <w:rPr>
                <w:rFonts w:hint="eastAsia"/>
                <w:sz w:val="18"/>
              </w:rPr>
              <w:t>《城市生活垃圾管理办法》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336</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任何单位和个人随意倾倒、抛撒或者堆放建筑垃圾</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《城市建筑垃圾管理规定》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337</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处置超出核准范围的建筑垃圾的处罚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《城市建筑垃圾管理规定》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338</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未经核准擅自处置建筑垃圾</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《城市建筑垃圾管理规定》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339</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涂改、倒卖、出租、出借或者以其他形式非法转让城市建筑垃圾处置核准文件</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《城市建筑垃圾管理规定》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340</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处置建筑垃圾的单位在运输建筑垃圾过程中沿途丢弃、遗撒建筑垃圾</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《城市建筑垃圾管理规定》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341</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施工单位将建筑垃圾交给个人或者未经核准从事建筑垃圾运输的单位处置的处罚</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《城市建筑垃圾管理规定》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342</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施工单位未及时清运工程施工过程中产生的建筑垃圾，造成环境污染</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《城市建筑垃圾管理规定》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343</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关于建筑垃圾储运消纳场受纳工业垃圾、生活垃圾和有毒有害垃圾</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《城市建筑垃圾管理规定》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344</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任何单位和个人擅自设立弃置场受纳建筑垃圾</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《城市建筑垃圾管理规定》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345</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任何单位和个人将危险废物混入建筑垃圾</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《城市建筑垃圾管理规定》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346</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任何单位和个人将建筑垃圾混入生活垃圾</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《城市建筑垃圾管理规定》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347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未按照批准的位置、面积、期限占用或者挖掘城市道路，或者需要移动位置、扩大面积、延长时间，未提前办理变更审批手续</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《城市道路管理条例》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348</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紧急抢修埋设在城市道路下的管线，不按照规定补办批准手续</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《城市道路管理条例》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349</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依附于城市道路建设各种管线、杆线等设施，不按照规定办理批准手续</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《城市道路管理条例》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350</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占用城市道路期满或者挖掘城市道路后，不及时清理现场</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《城市道路管理条例》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351</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未在城市道路施工现场设置明显标志和安全防围设施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《城市道路管理条例》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352</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未对设在城市道路上的各种管线的检查井、箱盖或者城市道路附属设施的缺损及时补缺或者修复</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《城市道路管理条例》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353</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未定期对城市道路进行养护、维修或者未按照规定的期限修复竣工，并拒绝接受市政工程行政主管部门监督、检查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《城市道路管理条例》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354</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擅自使用未经验收或者验收不合格的城市道路</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《城市道路管理条例》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355</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未按照设计图纸施工或者擅自修改图纸</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《城市道路管理条例》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356</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未按照城市道路设计、施工技术规范设计、施工</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《城市道路管理条例》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357</w:t>
            </w:r>
          </w:p>
        </w:tc>
        <w:tc>
          <w:tcPr>
            <w:tcW w:w="782" w:type="dxa"/>
            <w:noWrap/>
            <w:vAlign w:val="center"/>
          </w:tcPr>
          <w:p>
            <w:pPr>
              <w:pStyle w:val="10"/>
              <w:jc w:val="center"/>
              <w:rPr>
                <w:sz w:val="18"/>
              </w:rPr>
            </w:pPr>
            <w:r>
              <w:rPr>
                <w:sz w:val="18"/>
              </w:rPr>
              <w:t>市政公</w:t>
            </w:r>
          </w:p>
          <w:p>
            <w:pPr>
              <w:pStyle w:val="10"/>
              <w:jc w:val="center"/>
              <w:rPr>
                <w:rFonts w:ascii="微软雅黑"/>
                <w:sz w:val="18"/>
              </w:rPr>
            </w:pPr>
            <w:r>
              <w:rPr>
                <w:sz w:val="18"/>
              </w:rPr>
              <w:t>用管理</w:t>
            </w:r>
          </w:p>
        </w:tc>
        <w:tc>
          <w:tcPr>
            <w:tcW w:w="1833" w:type="dxa"/>
            <w:noWrap/>
            <w:vAlign w:val="center"/>
          </w:tcPr>
          <w:p>
            <w:pPr>
              <w:pStyle w:val="10"/>
              <w:jc w:val="both"/>
              <w:rPr>
                <w:rFonts w:ascii="微软雅黑"/>
                <w:sz w:val="18"/>
              </w:rPr>
            </w:pPr>
            <w:r>
              <w:rPr>
                <w:rFonts w:hint="eastAsia" w:ascii="微软雅黑"/>
                <w:sz w:val="18"/>
              </w:rPr>
              <w:t>未取得设计、施工资格或者未按照资质等级承担城市道路的设计、施工任务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《城市道路管理条例》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358</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在城镇绿地范围内，采石，挖沙，取土；搭建建筑物、构筑物</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《内蒙古自治区城镇绿化管理办法》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359</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在城镇绿地范围内，倾倒垃圾、污水、有害物质，堆放杂物，焚烧物品；种植蔬菜，采花草，放养家畜家禽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《内蒙古自治区城镇绿化管理办法》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360</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在城镇绿地范围内，在树木上刻划、涂污，悬挂物品或者张贴广告；停放车辆</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《内蒙古自治区城镇绿化管理办法》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361</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不服从公共绿地管理单位管理的商业、服务摊点</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《城市绿化条例》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362</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未经同意擅自占用城市绿化用地</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《城市绿化条例》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363</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损坏城市绿化设施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《城市绿化条例》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364</w:t>
            </w:r>
          </w:p>
        </w:tc>
        <w:tc>
          <w:tcPr>
            <w:tcW w:w="782" w:type="dxa"/>
            <w:noWrap/>
            <w:vAlign w:val="center"/>
          </w:tcPr>
          <w:p>
            <w:pPr>
              <w:pStyle w:val="10"/>
              <w:jc w:val="center"/>
              <w:rPr>
                <w:rFonts w:ascii="微软雅黑"/>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砍伐、擅自迁移古树名木或者因养护不善致使古树名木受到损伤或者死亡</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《城市绿化条例》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365</w:t>
            </w:r>
          </w:p>
        </w:tc>
        <w:tc>
          <w:tcPr>
            <w:tcW w:w="782" w:type="dxa"/>
            <w:noWrap/>
            <w:vAlign w:val="center"/>
          </w:tcPr>
          <w:p>
            <w:pPr>
              <w:pStyle w:val="10"/>
              <w:jc w:val="center"/>
              <w:rPr>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擅自砍伐城市树木</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《城市绿化条例》</w:t>
            </w:r>
          </w:p>
          <w:p>
            <w:pPr>
              <w:pStyle w:val="10"/>
              <w:spacing w:line="324" w:lineRule="auto"/>
              <w:ind w:right="157"/>
              <w:jc w:val="both"/>
              <w:rPr>
                <w:sz w:val="18"/>
              </w:rPr>
            </w:pPr>
            <w:r>
              <w:rPr>
                <w:rFonts w:hint="eastAsia"/>
                <w:sz w:val="18"/>
              </w:rPr>
              <w:t>《内蒙古自治区城镇绿化管理办法》</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366</w:t>
            </w:r>
          </w:p>
        </w:tc>
        <w:tc>
          <w:tcPr>
            <w:tcW w:w="782" w:type="dxa"/>
            <w:noWrap/>
            <w:vAlign w:val="center"/>
          </w:tcPr>
          <w:p>
            <w:pPr>
              <w:pStyle w:val="10"/>
              <w:jc w:val="center"/>
              <w:rPr>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损坏城市树木花草</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《城市绿化条例》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367</w:t>
            </w:r>
          </w:p>
        </w:tc>
        <w:tc>
          <w:tcPr>
            <w:tcW w:w="782" w:type="dxa"/>
            <w:noWrap/>
            <w:vAlign w:val="center"/>
          </w:tcPr>
          <w:p>
            <w:pPr>
              <w:pStyle w:val="10"/>
              <w:jc w:val="center"/>
              <w:rPr>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损坏各类环境卫生设施及其附属设施</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368</w:t>
            </w:r>
          </w:p>
        </w:tc>
        <w:tc>
          <w:tcPr>
            <w:tcW w:w="782" w:type="dxa"/>
            <w:noWrap/>
            <w:vAlign w:val="center"/>
          </w:tcPr>
          <w:p>
            <w:pPr>
              <w:pStyle w:val="10"/>
              <w:jc w:val="center"/>
              <w:rPr>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凡不符合城市容貌标准、环境卫生标准的建筑物或者设施逾期未改造或者未拆除</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《城市市容和环境卫生管理条例》</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369</w:t>
            </w:r>
          </w:p>
        </w:tc>
        <w:tc>
          <w:tcPr>
            <w:tcW w:w="782" w:type="dxa"/>
            <w:noWrap/>
            <w:vAlign w:val="center"/>
          </w:tcPr>
          <w:p>
            <w:pPr>
              <w:pStyle w:val="10"/>
              <w:jc w:val="center"/>
              <w:rPr>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未经批准擅自拆除环境卫生设施或者未按批准的拆迁方案进行拆迁</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370</w:t>
            </w:r>
          </w:p>
        </w:tc>
        <w:tc>
          <w:tcPr>
            <w:tcW w:w="782" w:type="dxa"/>
            <w:noWrap/>
            <w:vAlign w:val="center"/>
          </w:tcPr>
          <w:p>
            <w:pPr>
              <w:pStyle w:val="10"/>
              <w:jc w:val="center"/>
              <w:rPr>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未经城市人民政府市容环境卫生行政主管部门批准，擅自在街道两侧和公共场地堆放物料，搭建建筑物、构筑物或者其他设施，影响市容</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371</w:t>
            </w:r>
          </w:p>
        </w:tc>
        <w:tc>
          <w:tcPr>
            <w:tcW w:w="782" w:type="dxa"/>
            <w:noWrap/>
            <w:vAlign w:val="center"/>
          </w:tcPr>
          <w:p>
            <w:pPr>
              <w:pStyle w:val="10"/>
              <w:jc w:val="center"/>
              <w:rPr>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未经城市人民政府市容环境卫生行政主管部门同意，擅自设置大型户外广告，影响市容</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noWrap/>
            <w:vAlign w:val="center"/>
          </w:tcPr>
          <w:p>
            <w:pPr>
              <w:pStyle w:val="10"/>
              <w:jc w:val="center"/>
              <w:rPr>
                <w:rFonts w:ascii="微软雅黑"/>
                <w:sz w:val="18"/>
              </w:rPr>
            </w:pPr>
            <w:r>
              <w:rPr>
                <w:rFonts w:hint="eastAsia" w:ascii="微软雅黑"/>
                <w:sz w:val="18"/>
              </w:rPr>
              <w:t>372</w:t>
            </w:r>
          </w:p>
        </w:tc>
        <w:tc>
          <w:tcPr>
            <w:tcW w:w="782" w:type="dxa"/>
            <w:noWrap/>
            <w:vAlign w:val="center"/>
          </w:tcPr>
          <w:p>
            <w:pPr>
              <w:pStyle w:val="10"/>
              <w:jc w:val="center"/>
              <w:rPr>
                <w:sz w:val="18"/>
              </w:rPr>
            </w:pPr>
            <w:r>
              <w:rPr>
                <w:sz w:val="18"/>
              </w:rPr>
              <w:t>市容环境卫生管理</w:t>
            </w:r>
          </w:p>
        </w:tc>
        <w:tc>
          <w:tcPr>
            <w:tcW w:w="1833" w:type="dxa"/>
            <w:noWrap/>
            <w:vAlign w:val="center"/>
          </w:tcPr>
          <w:p>
            <w:pPr>
              <w:pStyle w:val="10"/>
              <w:jc w:val="both"/>
              <w:rPr>
                <w:rFonts w:ascii="微软雅黑"/>
                <w:sz w:val="18"/>
              </w:rPr>
            </w:pPr>
            <w:r>
              <w:rPr>
                <w:rFonts w:hint="eastAsia" w:ascii="微软雅黑"/>
                <w:sz w:val="18"/>
              </w:rPr>
              <w:t>饲养家畜家禽影响市容和环境卫生</w:t>
            </w:r>
          </w:p>
        </w:tc>
        <w:tc>
          <w:tcPr>
            <w:tcW w:w="2116" w:type="dxa"/>
            <w:noWrap/>
            <w:vAlign w:val="center"/>
          </w:tcPr>
          <w:p>
            <w:pPr>
              <w:pStyle w:val="10"/>
              <w:spacing w:line="320" w:lineRule="exact"/>
              <w:jc w:val="both"/>
              <w:rPr>
                <w:sz w:val="18"/>
              </w:rPr>
            </w:pPr>
            <w:r>
              <w:rPr>
                <w:rFonts w:hint="eastAsia"/>
                <w:sz w:val="18"/>
                <w:lang w:val="en-US"/>
              </w:rPr>
              <w:t>1.</w:t>
            </w:r>
            <w:r>
              <w:rPr>
                <w:sz w:val="18"/>
              </w:rPr>
              <w:t xml:space="preserve">机构职能、权责清 单、执法人员名单； </w:t>
            </w:r>
          </w:p>
          <w:p>
            <w:pPr>
              <w:pStyle w:val="10"/>
              <w:spacing w:line="320" w:lineRule="exact"/>
              <w:jc w:val="both"/>
              <w:rPr>
                <w:sz w:val="18"/>
              </w:rPr>
            </w:pPr>
            <w:r>
              <w:rPr>
                <w:rFonts w:hint="eastAsia"/>
                <w:spacing w:val="-2"/>
                <w:sz w:val="18"/>
                <w:lang w:val="en-US"/>
              </w:rPr>
              <w:t>2.</w:t>
            </w:r>
            <w:r>
              <w:rPr>
                <w:spacing w:val="-2"/>
                <w:sz w:val="18"/>
              </w:rPr>
              <w:t>执法程序或行政强制</w:t>
            </w:r>
            <w:r>
              <w:rPr>
                <w:sz w:val="18"/>
              </w:rPr>
              <w:t xml:space="preserve">流程图； </w:t>
            </w:r>
          </w:p>
          <w:p>
            <w:pPr>
              <w:pStyle w:val="10"/>
              <w:tabs>
                <w:tab w:val="left" w:pos="292"/>
              </w:tabs>
              <w:spacing w:before="3" w:line="320" w:lineRule="exact"/>
              <w:jc w:val="both"/>
              <w:rPr>
                <w:sz w:val="18"/>
              </w:rPr>
            </w:pPr>
            <w:r>
              <w:rPr>
                <w:rFonts w:hint="eastAsia"/>
                <w:sz w:val="18"/>
                <w:lang w:val="en-US"/>
              </w:rPr>
              <w:t>3.</w:t>
            </w:r>
            <w:r>
              <w:rPr>
                <w:sz w:val="18"/>
              </w:rPr>
              <w:t xml:space="preserve">执法依据； </w:t>
            </w:r>
          </w:p>
          <w:p>
            <w:pPr>
              <w:pStyle w:val="10"/>
              <w:tabs>
                <w:tab w:val="left" w:pos="292"/>
              </w:tabs>
              <w:spacing w:line="320" w:lineRule="exact"/>
              <w:jc w:val="both"/>
              <w:rPr>
                <w:sz w:val="18"/>
              </w:rPr>
            </w:pPr>
            <w:r>
              <w:rPr>
                <w:rFonts w:hint="eastAsia"/>
                <w:sz w:val="18"/>
                <w:lang w:val="en-US"/>
              </w:rPr>
              <w:t>4.</w:t>
            </w:r>
            <w:r>
              <w:rPr>
                <w:spacing w:val="-1"/>
                <w:sz w:val="18"/>
              </w:rPr>
              <w:t xml:space="preserve">处罚决定； </w:t>
            </w:r>
          </w:p>
          <w:p>
            <w:pPr>
              <w:pStyle w:val="10"/>
              <w:tabs>
                <w:tab w:val="left" w:pos="292"/>
              </w:tabs>
              <w:spacing w:line="320" w:lineRule="exact"/>
              <w:jc w:val="both"/>
              <w:rPr>
                <w:sz w:val="18"/>
              </w:rPr>
            </w:pPr>
            <w:r>
              <w:rPr>
                <w:rFonts w:hint="eastAsia"/>
                <w:spacing w:val="-1"/>
                <w:sz w:val="18"/>
                <w:lang w:val="en-US"/>
              </w:rPr>
              <w:t>5.</w:t>
            </w:r>
            <w:r>
              <w:rPr>
                <w:spacing w:val="-1"/>
                <w:sz w:val="18"/>
              </w:rPr>
              <w:t>救济渠道。</w:t>
            </w:r>
          </w:p>
        </w:tc>
        <w:tc>
          <w:tcPr>
            <w:tcW w:w="1269" w:type="dxa"/>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noWrap/>
            <w:vAlign w:val="center"/>
          </w:tcPr>
          <w:p>
            <w:pPr>
              <w:pStyle w:val="10"/>
              <w:spacing w:line="320" w:lineRule="exact"/>
              <w:jc w:val="both"/>
              <w:rPr>
                <w:sz w:val="18"/>
              </w:rPr>
            </w:pPr>
            <w:r>
              <w:rPr>
                <w:rFonts w:hint="eastAsia"/>
                <w:sz w:val="18"/>
                <w:lang w:val="en-US"/>
              </w:rPr>
              <w:t>1.</w:t>
            </w:r>
            <w:r>
              <w:rPr>
                <w:sz w:val="18"/>
              </w:rPr>
              <w:t xml:space="preserve">处罚决定内容：（动态调整）； </w:t>
            </w:r>
          </w:p>
          <w:p>
            <w:pPr>
              <w:pStyle w:val="10"/>
              <w:spacing w:line="320" w:lineRule="exact"/>
              <w:jc w:val="both"/>
              <w:rPr>
                <w:sz w:val="18"/>
              </w:rPr>
            </w:pPr>
            <w:r>
              <w:rPr>
                <w:rFonts w:hint="eastAsia"/>
                <w:sz w:val="18"/>
                <w:lang w:val="en-US"/>
              </w:rPr>
              <w:t>2.</w:t>
            </w:r>
            <w:r>
              <w:rPr>
                <w:sz w:val="18"/>
              </w:rPr>
              <w:t xml:space="preserve">处 罚 决 定 ：20 个 工作日内。 </w:t>
            </w:r>
          </w:p>
        </w:tc>
        <w:tc>
          <w:tcPr>
            <w:tcW w:w="1027" w:type="dxa"/>
            <w:noWrap/>
            <w:vAlign w:val="center"/>
          </w:tcPr>
          <w:p>
            <w:pPr>
              <w:pStyle w:val="10"/>
              <w:spacing w:before="1" w:line="324" w:lineRule="auto"/>
              <w:ind w:right="101"/>
              <w:jc w:val="both"/>
              <w:rPr>
                <w:sz w:val="18"/>
              </w:rPr>
            </w:pPr>
            <w:r>
              <w:rPr>
                <w:sz w:val="18"/>
              </w:rPr>
              <w:t>乌兰浩特市</w:t>
            </w:r>
            <w:r>
              <w:rPr>
                <w:rFonts w:hint="eastAsia"/>
                <w:sz w:val="18"/>
                <w:lang w:val="en-US"/>
              </w:rPr>
              <w:t>城市管理综合执法局</w:t>
            </w:r>
          </w:p>
        </w:tc>
        <w:tc>
          <w:tcPr>
            <w:tcW w:w="3468" w:type="dxa"/>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15"/>
              <w:jc w:val="both"/>
              <w:rPr>
                <w:sz w:val="18"/>
              </w:rPr>
            </w:pPr>
          </w:p>
        </w:tc>
        <w:tc>
          <w:tcPr>
            <w:tcW w:w="556" w:type="dxa"/>
            <w:noWrap/>
            <w:vAlign w:val="center"/>
          </w:tcPr>
          <w:p>
            <w:pPr>
              <w:pStyle w:val="10"/>
              <w:ind w:firstLine="180" w:firstLineChars="100"/>
              <w:jc w:val="both"/>
              <w:rPr>
                <w:rFonts w:ascii="Arial" w:hAnsi="Arial"/>
                <w:sz w:val="18"/>
              </w:rPr>
            </w:pPr>
            <w:r>
              <w:rPr>
                <w:rFonts w:ascii="Arial" w:hAnsi="Arial"/>
                <w:sz w:val="18"/>
              </w:rPr>
              <w:t>√</w:t>
            </w:r>
          </w:p>
        </w:tc>
        <w:tc>
          <w:tcPr>
            <w:tcW w:w="678" w:type="dxa"/>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spacing w:before="15"/>
              <w:jc w:val="both"/>
              <w:rPr>
                <w:rFonts w:ascii="微软雅黑"/>
                <w:sz w:val="14"/>
              </w:rPr>
            </w:pPr>
          </w:p>
          <w:p>
            <w:pPr>
              <w:pStyle w:val="10"/>
              <w:ind w:right="48"/>
              <w:jc w:val="both"/>
              <w:rPr>
                <w:sz w:val="18"/>
              </w:rPr>
            </w:pPr>
          </w:p>
        </w:tc>
        <w:tc>
          <w:tcPr>
            <w:tcW w:w="515" w:type="dxa"/>
            <w:noWrap/>
            <w:vAlign w:val="center"/>
          </w:tcPr>
          <w:p>
            <w:pPr>
              <w:pStyle w:val="10"/>
              <w:ind w:firstLine="180" w:firstLineChars="100"/>
              <w:jc w:val="both"/>
              <w:rPr>
                <w:rFonts w:ascii="Arial" w:hAnsi="Arial"/>
                <w:sz w:val="18"/>
              </w:rPr>
            </w:pPr>
            <w:r>
              <w:rPr>
                <w:rFonts w:ascii="Arial" w:hAnsi="Arial"/>
                <w:sz w:val="18"/>
              </w:rPr>
              <w:t>√</w:t>
            </w:r>
          </w:p>
        </w:tc>
        <w:tc>
          <w:tcPr>
            <w:tcW w:w="577" w:type="dxa"/>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373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sz w:val="18"/>
              </w:rPr>
              <w:t>市容环境卫生管理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临街工地不设置护栏或者不作遮挡、停工场地不及时整理并作必要覆盖或者竣工后不及时清理和平整场地，影响市容和环境卫生</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374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sz w:val="18"/>
              </w:rPr>
              <w:t>市容环境卫生管理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运输液体、散装货物不作密封、包扎、覆盖，造成泄漏、遗撒</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375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sz w:val="18"/>
              </w:rPr>
              <w:t>市容环境卫生管理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不履行卫生责任区清扫保洁义务或者不按规定清运、处理垃圾和粪便的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376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sz w:val="18"/>
              </w:rPr>
              <w:t>市容环境卫生管理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不按规定的时间、地点、方式，倾倒垃圾、粪便</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377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sz w:val="18"/>
              </w:rPr>
              <w:t>市容环境卫生管理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在城市人民政府规定的街道的临街建筑物的阳台和窗外，堆放、吊挂有碍市容的物品</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378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sz w:val="18"/>
              </w:rPr>
              <w:t>市容环境卫生管理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在城市建筑物、设施以及树木上涂写、刻画或者未经批准张挂、张贴宣传品等</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42"/>
        <w:gridCol w:w="1243"/>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379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sz w:val="18"/>
              </w:rPr>
              <w:t>市容环境卫生管理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随地吐痰、便溺，乱扔果皮、纸屑和烟头等废弃物</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43"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《城市市容和环境卫生管理条例》</w:t>
            </w:r>
          </w:p>
          <w:p>
            <w:pPr>
              <w:pStyle w:val="10"/>
              <w:spacing w:line="324" w:lineRule="auto"/>
              <w:ind w:right="157"/>
              <w:jc w:val="both"/>
              <w:rPr>
                <w:sz w:val="18"/>
              </w:rPr>
            </w:pPr>
            <w:r>
              <w:rPr>
                <w:rFonts w:hint="eastAsia"/>
                <w:sz w:val="18"/>
              </w:rPr>
              <w:t>《内蒙古自治区城市市容和环境卫生违法行为处罚规定》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380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房地产经纪机构提供代办贷款、代办房地产登记等其他服务，未向委托人说明服务内容、收费标准等情况，并未经委托人同意的处罚</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43"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《房地产经纪管理办法》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381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房地产经纪人员以个人名义承接房地产经纪业务和收取费用</w:t>
            </w:r>
          </w:p>
        </w:tc>
        <w:tc>
          <w:tcPr>
            <w:tcW w:w="214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43"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382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注册房地产估价师或者其聘用单位未按照要求提供房地产估价师信用档案信息</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383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注册房地产估价师严重损害他人利益、名誉的行为</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384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注册房地产估价师超出聘用单位业务范围从事房地产估价活动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385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注册房地产估价师涂改、出租、出借或者以其他形式非法转让注册证书</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386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注册房地产估价师以个人名义承揽房地产估价业务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387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同时在</w:t>
            </w:r>
            <w:r>
              <w:rPr>
                <w:rFonts w:ascii="微软雅黑"/>
                <w:sz w:val="18"/>
              </w:rPr>
              <w:t>2个或者2个以上房地产估价机构执业</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388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注册房地产估价师允许他人以自己的名义从事房地产估价业务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389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注册房地产估价师在估价报告中隐瞒或者歪曲事实</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390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注册房地产估价师签署有虚假记载、误导性陈述或者重大遗漏的估价报告</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391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注册房地产估价师在执业过程中实施商业贿赂</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392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注册房地产估价师在执业过程中，索贿、受贿或者谋取合同约定费用外的其他利益</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393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注册房地产估价师不履行注册房地产估价师义务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394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未办理变更注册仍执业</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395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未经注册，擅自以注册房地产估价师名义从事房地产估价活动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396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以欺骗、贿赂等不正当手段取得注册证书</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《注册房地产估价师管理办法》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397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估价机构未经委托人书面同意，擅自转让受托的估价业务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《房地产估价机构管理办法》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398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估价机构擅自设立分支机构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《房地产估价机构管理办法》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399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出具有虚假记载、误导性陈述或者重大遗漏的估价报告</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《房地产估价机构管理办法》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400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违反房地产估价规范和标准</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《房地产估价机构管理办法》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401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估价机构以迎合高估或者低估要求、给予回扣、恶意压低收费等方式进行不正当竞争</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《房地产估价机构管理办法》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402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估价机构违规出具估价报告</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《房地产估价机构管理办法》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403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估价机构擅自转让受托的估价业务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《房地产估价机构管理办法》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404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估价机构分支机构不备案</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《房地产估价机构管理办法》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405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估价机构不够条件设分机构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《房地产估价机构管理办法》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406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土地</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未取得房地产估价机构资质从事房地产估价活动或者超越资质等级承揽估价业务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《国有土地上房屋征收与补偿条例》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407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对房地产价格评估机构或者房地产估价师出具虚假或者有重大差错的评估报告</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《内蒙古自治区城市房地产开发经营管理条例》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408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未领取商品房预售许可证预售商品房</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《内蒙古自治区城市房地产开发经营管理条例》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409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自治区外房地产开发企业在自治区内进行房地产开发经营，未办理资质登记手续</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《内蒙古自治区城市房地产开发经营管理条例》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410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房地产开发企业在商品住宅销售中不按规定发放《住宅质量保证书》或者《住宅使用说明书》</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《内蒙古自治区城市房地产开发经营管理条例》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411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涂改、出租、出借、转让、出卖资质证书</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《内蒙古自治区城市房地产开发经营管理条例》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412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隐瞒真实情况、弄虚作假骗取资质证书</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《城市商品房预售管理办法》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413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开发企业隐瞒有关情况、提供虚假材料，或者采用欺骗、贿赂等不正当手段取得商品房预售许可</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《城市商品房预售管理办法》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414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开发企业不按规定使用商品房预售款项</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415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房地产中介服务机构代理销售不符合销售条件的商品房</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416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委托没有资格的机构代理销售商品房</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417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未按照规定向买受人明示《商品房销售管理办法》、《商品房买卖合同示范文本》、《城市商品房预售管理办法》</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418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不符合商品房销售条件，向买受人收取预订款性质费用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419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分割拆零销售商品住宅</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420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采取售后包租或者变相售后包租方式销售未竣工商品房</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421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返本销售或者变相返本销售商品房</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422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对未按照规定在商品房现售前将房地产开发项目手册及符合商品房现售条件的有关证明文件报送房地产开发主管部门备案</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423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未按照规定的现售条件现售商品房</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424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房地产开发企业未按规定将测绘成果或者需要由其提供的办理房屋权属登记的资料报送房地产行政主管部门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425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未解除商品房买卖合同前，将作为合同标的物的商品房再行销售给他人</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《商品房销售管理办法》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426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未取得房地产开发企业资质证书，擅自销售商品房</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《城市房地产开发经营管理条例》</w:t>
            </w:r>
          </w:p>
          <w:p>
            <w:pPr>
              <w:pStyle w:val="10"/>
              <w:spacing w:line="324" w:lineRule="auto"/>
              <w:ind w:right="157"/>
              <w:jc w:val="both"/>
              <w:rPr>
                <w:sz w:val="18"/>
              </w:rPr>
            </w:pPr>
            <w:r>
              <w:rPr>
                <w:rFonts w:hint="eastAsia"/>
                <w:sz w:val="18"/>
              </w:rPr>
              <w:t>《商品房销售管理办法》</w:t>
            </w:r>
          </w:p>
          <w:p>
            <w:pPr>
              <w:pStyle w:val="10"/>
              <w:spacing w:line="324" w:lineRule="auto"/>
              <w:ind w:right="157"/>
              <w:jc w:val="both"/>
              <w:rPr>
                <w:sz w:val="18"/>
              </w:rPr>
            </w:pPr>
            <w:r>
              <w:rPr>
                <w:rFonts w:hint="eastAsia"/>
                <w:sz w:val="18"/>
              </w:rPr>
              <w:t>《内蒙古自治区城市房地产开发经营管理条例》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427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擅自预售商品房</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《城市房地产开发经营管理条例》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8"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428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擅自转让房地产开发项目</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《城市房地产开发经营管理条例》</w:t>
            </w:r>
          </w:p>
          <w:p>
            <w:pPr>
              <w:pStyle w:val="10"/>
              <w:spacing w:line="324" w:lineRule="auto"/>
              <w:ind w:right="157"/>
              <w:jc w:val="both"/>
              <w:rPr>
                <w:sz w:val="18"/>
              </w:rPr>
            </w:pPr>
            <w:r>
              <w:rPr>
                <w:rFonts w:hint="eastAsia"/>
                <w:sz w:val="18"/>
              </w:rPr>
              <w:t>《房地产开发企业资质管理规定》</w:t>
            </w:r>
          </w:p>
          <w:p>
            <w:pPr>
              <w:pStyle w:val="10"/>
              <w:spacing w:line="324" w:lineRule="auto"/>
              <w:ind w:right="157"/>
              <w:jc w:val="both"/>
              <w:rPr>
                <w:sz w:val="18"/>
              </w:rPr>
            </w:pPr>
            <w:r>
              <w:rPr>
                <w:rFonts w:hint="eastAsia"/>
                <w:sz w:val="18"/>
              </w:rPr>
              <w:t>《内蒙古自治区城市房地产开发经营管理条例》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429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房地产</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未取得资质等级证书或者超越资质等级从事房地产开发经营</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《中华人民共和国城市房地产管理法》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430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大气</w:t>
            </w:r>
          </w:p>
          <w:p>
            <w:pPr>
              <w:pStyle w:val="10"/>
              <w:jc w:val="center"/>
              <w:rPr>
                <w:sz w:val="18"/>
              </w:rPr>
            </w:pPr>
            <w:r>
              <w:rPr>
                <w:rFonts w:hint="eastAsia"/>
                <w:sz w:val="18"/>
              </w:rPr>
              <w:t>污染</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违反机动车停放、临时停车规定且驾驶人不在现场或者驾驶人虽在现场但拒绝立即驶离，妨碍其他车辆、行人通行</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《中华人民共和国大气污染防治法》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431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大气</w:t>
            </w:r>
          </w:p>
          <w:p>
            <w:pPr>
              <w:pStyle w:val="10"/>
              <w:jc w:val="center"/>
              <w:rPr>
                <w:sz w:val="18"/>
              </w:rPr>
            </w:pPr>
            <w:r>
              <w:rPr>
                <w:rFonts w:hint="eastAsia"/>
                <w:sz w:val="18"/>
              </w:rPr>
              <w:t>污染</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任何单位和个人在城市人民政府禁止的时段和区域内燃放烟花爆竹</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《中华人民共和国大气污染防治法》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432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大气</w:t>
            </w:r>
          </w:p>
          <w:p>
            <w:pPr>
              <w:pStyle w:val="10"/>
              <w:jc w:val="center"/>
              <w:rPr>
                <w:sz w:val="18"/>
              </w:rPr>
            </w:pPr>
            <w:r>
              <w:rPr>
                <w:rFonts w:hint="eastAsia"/>
                <w:sz w:val="18"/>
              </w:rPr>
              <w:t>污染</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在人口集中地区对树木、花草喷洒剧毒、高毒农药，或者露天焚烧秸秆、落叶等产生烟尘污染的物质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《中华人民共和国大气污染防治法》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433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大气</w:t>
            </w:r>
          </w:p>
          <w:p>
            <w:pPr>
              <w:pStyle w:val="10"/>
              <w:jc w:val="center"/>
              <w:rPr>
                <w:sz w:val="18"/>
              </w:rPr>
            </w:pPr>
            <w:r>
              <w:rPr>
                <w:rFonts w:hint="eastAsia"/>
                <w:sz w:val="18"/>
              </w:rPr>
              <w:t>污染</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焚烧沥青塑料垃圾等烟尘和恶臭污染</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《中华人民共和国大气污染防治法》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434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大气</w:t>
            </w:r>
          </w:p>
          <w:p>
            <w:pPr>
              <w:pStyle w:val="10"/>
              <w:jc w:val="center"/>
              <w:rPr>
                <w:sz w:val="18"/>
              </w:rPr>
            </w:pPr>
            <w:r>
              <w:rPr>
                <w:rFonts w:hint="eastAsia"/>
                <w:sz w:val="18"/>
              </w:rPr>
              <w:t>污染</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露天烧烤污染</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《中华人民共和国大气污染防治法》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435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大气</w:t>
            </w:r>
          </w:p>
          <w:p>
            <w:pPr>
              <w:pStyle w:val="10"/>
              <w:jc w:val="center"/>
              <w:rPr>
                <w:sz w:val="18"/>
              </w:rPr>
            </w:pPr>
            <w:r>
              <w:rPr>
                <w:rFonts w:hint="eastAsia"/>
                <w:sz w:val="18"/>
              </w:rPr>
              <w:t>污染</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餐饮服务业油烟污染</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《中华人民共和国大气污染防治法》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436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大气</w:t>
            </w:r>
          </w:p>
          <w:p>
            <w:pPr>
              <w:pStyle w:val="10"/>
              <w:jc w:val="center"/>
              <w:rPr>
                <w:sz w:val="18"/>
              </w:rPr>
            </w:pPr>
            <w:r>
              <w:rPr>
                <w:rFonts w:hint="eastAsia"/>
                <w:sz w:val="18"/>
              </w:rPr>
              <w:t>污染</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建筑施工扬尘污染</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《中华人民共和国大气污染防治法》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437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sz w:val="18"/>
              </w:rPr>
            </w:pPr>
          </w:p>
          <w:p>
            <w:pPr>
              <w:pStyle w:val="10"/>
              <w:jc w:val="center"/>
              <w:rPr>
                <w:sz w:val="18"/>
              </w:rPr>
            </w:pPr>
            <w:r>
              <w:rPr>
                <w:rFonts w:hint="eastAsia"/>
                <w:sz w:val="18"/>
              </w:rPr>
              <w:t>污染</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建筑施工噪声污染</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《中华人民共和国环境噪声污染防治法》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438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rPr>
                <w:rFonts w:ascii="微软雅黑"/>
                <w:sz w:val="18"/>
              </w:rPr>
            </w:pPr>
            <w:r>
              <w:rPr>
                <w:rFonts w:hint="eastAsia" w:ascii="微软雅黑"/>
                <w:sz w:val="18"/>
              </w:rPr>
              <w:t>城市建成区随意攀折树枝、采摘花果、踩踏草坪的，由城市管理综合执法部门责令改正</w:t>
            </w:r>
          </w:p>
          <w:p>
            <w:pPr>
              <w:pStyle w:val="10"/>
              <w:jc w:val="both"/>
              <w:rPr>
                <w:rFonts w:ascii="微软雅黑"/>
                <w:sz w:val="18"/>
              </w:rPr>
            </w:pP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439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rPr>
                <w:rFonts w:ascii="微软雅黑"/>
                <w:sz w:val="18"/>
              </w:rPr>
            </w:pPr>
            <w:r>
              <w:rPr>
                <w:rFonts w:hint="eastAsia"/>
                <w:sz w:val="18"/>
              </w:rPr>
              <w:t>城市建成区的道路、居民区和其他公共区域搭设灵棚，抛撒、焚烧丧葬祭奠物品的</w:t>
            </w:r>
          </w:p>
          <w:p>
            <w:pPr>
              <w:pStyle w:val="10"/>
              <w:jc w:val="both"/>
              <w:rPr>
                <w:rFonts w:ascii="微软雅黑"/>
                <w:sz w:val="18"/>
              </w:rPr>
            </w:pP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440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城市建成区的景观河道、湖泊内游泳、捕鱼的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441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共享自行车、电动车出租人向社会投放车辆未有效履行管理职责，造成乱停乱放问题严重的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442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住宅小区物业管理区域内从建筑物中抛掷物品的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443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在住宅小区物业管理区域停放车辆堵塞他人车库的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444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在住宅小区物业管理区域停放车辆占用他人停车位的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445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在住宅小区物业管理区域停放车辆在规定区域外停放车辆，妨碍其他车辆和行人正常通行的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446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在城市建成区饲养犬只携犬出户时未由完全民事行为能力人用束犬链（绳）牵领、未主动避让他人、未及时清理粪便的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447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在城市建成区饲养犬只携犬（导盲犬、搜救犬等工作犬除外）乘坐公共交通工具，或者进入室内公共场所及设有禁止动物进入标志的室外公共场所的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448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物业服务企业或者其他管理人在不文明行为发生前未进行宣传和警示并采取必要的安全保障措施的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449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物业服务企业或者其他管理人对发生的不文明行为未及时予以劝阻、制止的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450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文明</w:t>
            </w:r>
          </w:p>
          <w:p>
            <w:pPr>
              <w:pStyle w:val="10"/>
              <w:jc w:val="center"/>
              <w:rPr>
                <w:sz w:val="18"/>
              </w:rPr>
            </w:pPr>
            <w:r>
              <w:rPr>
                <w:rFonts w:hint="eastAsia"/>
                <w:sz w:val="18"/>
              </w:rPr>
              <w:t>行为</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物业服务企业或者其他管理人对拒不改正的不文明行为未及时向有关行政执法部门报告，并协助取证的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《内蒙古自治区文明行为促进条例》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451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建设单位未经竣工验收将人民防空工程交付使用的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《内蒙古自治区人民防空工程建设管理规定》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452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建设单位未按规定办理防空地下室防护质量监督手续的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《内蒙古自治区人民防空工程建设管理规定》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453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设计单位未在人民防空工程施工图设计中同步制定平战功能转换方案的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《内蒙古自治区人民防空工程建设管理规定》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454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施工图修改未经原施工图审查机构审查并报人民防空主管部门批准的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《内蒙古自治区人民防空工程建设管理规定》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455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建设单位未按规定将防空地下室施工设计图设计文件报人民防空主管部门审核的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《内蒙古自治区人民防空工程建设管理规定》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456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新建民用建筑项目，在办理工程规划许可证之前，未依法办理人民防空工程建设审核手续的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《内蒙古自治区人民防空工程建设管理规定》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457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未经批准在人防工程安全范围内采石、挖沙、取土、修建地面建筑或者向防空工程内排水、排污、倾倒废弃物等影响和危害工程安全使用和防护等级</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《中华人民共和国人民防空法》</w:t>
            </w:r>
          </w:p>
          <w:p>
            <w:pPr>
              <w:pStyle w:val="10"/>
              <w:spacing w:line="324" w:lineRule="auto"/>
              <w:ind w:right="157"/>
              <w:jc w:val="both"/>
              <w:rPr>
                <w:sz w:val="18"/>
              </w:rPr>
            </w:pPr>
            <w:r>
              <w:rPr>
                <w:rFonts w:hint="eastAsia"/>
                <w:sz w:val="18"/>
              </w:rPr>
              <w:t>《内蒙古自治区实施</w:t>
            </w:r>
            <w:r>
              <w:rPr>
                <w:sz w:val="18"/>
              </w:rPr>
              <w:t>&lt;中华人民共和国人民防空法&gt;办法》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458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阻挠安装人民防空通信、警报设施，拒不改正的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《中华人民共和国人民防空法》</w:t>
            </w:r>
          </w:p>
          <w:p>
            <w:pPr>
              <w:pStyle w:val="10"/>
              <w:spacing w:line="324" w:lineRule="auto"/>
              <w:ind w:right="157"/>
              <w:jc w:val="both"/>
              <w:rPr>
                <w:sz w:val="18"/>
              </w:rPr>
            </w:pPr>
            <w:r>
              <w:rPr>
                <w:rFonts w:hint="eastAsia"/>
                <w:sz w:val="18"/>
              </w:rPr>
              <w:t>《内蒙古自治区实施</w:t>
            </w:r>
            <w:r>
              <w:rPr>
                <w:sz w:val="18"/>
              </w:rPr>
              <w:t>&lt;中华人民共和国人民防空法&gt;办法》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459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占用人民防空通信专用频率、使用与防空警报相同的音响信号或者擅自拆除人民防空通信、警报设备设施的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《中华人民共和国人民防空法》</w:t>
            </w:r>
          </w:p>
          <w:p>
            <w:pPr>
              <w:pStyle w:val="10"/>
              <w:spacing w:line="324" w:lineRule="auto"/>
              <w:ind w:right="157"/>
              <w:jc w:val="both"/>
              <w:rPr>
                <w:sz w:val="18"/>
              </w:rPr>
            </w:pPr>
            <w:r>
              <w:rPr>
                <w:rFonts w:hint="eastAsia"/>
                <w:sz w:val="18"/>
              </w:rPr>
              <w:t>《内蒙古自治区实施</w:t>
            </w:r>
            <w:r>
              <w:rPr>
                <w:sz w:val="18"/>
              </w:rPr>
              <w:t>&lt;中华人民共和国人民防空法&gt;办法》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460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拆除人民防空工程后拒不补建</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《中华人民共和国人民防空法》</w:t>
            </w:r>
          </w:p>
          <w:p>
            <w:pPr>
              <w:pStyle w:val="10"/>
              <w:spacing w:line="324" w:lineRule="auto"/>
              <w:ind w:right="157"/>
              <w:jc w:val="both"/>
              <w:rPr>
                <w:sz w:val="18"/>
              </w:rPr>
            </w:pPr>
            <w:r>
              <w:rPr>
                <w:rFonts w:hint="eastAsia"/>
                <w:sz w:val="18"/>
              </w:rPr>
              <w:t>《内蒙古自治区实施</w:t>
            </w:r>
            <w:r>
              <w:rPr>
                <w:sz w:val="18"/>
              </w:rPr>
              <w:t>&lt;中华人民共和国人民防空法&gt;办法》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461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违反国家有关规定，改变人民防空工程主体结构、拆除人民防空工程设备设施或者采用其他方法危害人民防空工程的安全和使用效能</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《中华人民共和国人民防空法》</w:t>
            </w:r>
          </w:p>
          <w:p>
            <w:pPr>
              <w:pStyle w:val="10"/>
              <w:spacing w:line="324" w:lineRule="auto"/>
              <w:ind w:right="157"/>
              <w:jc w:val="both"/>
              <w:rPr>
                <w:sz w:val="18"/>
              </w:rPr>
            </w:pPr>
            <w:r>
              <w:rPr>
                <w:rFonts w:hint="eastAsia"/>
                <w:sz w:val="18"/>
              </w:rPr>
              <w:t>《内蒙古自治区实施</w:t>
            </w:r>
            <w:r>
              <w:rPr>
                <w:sz w:val="18"/>
              </w:rPr>
              <w:t>&lt;中华人民共和国人民防空法&gt;办法》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462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不按照国家规定的防护标准和质量标准修建人民防空工程的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《中华人民共和国人民防空法》</w:t>
            </w:r>
          </w:p>
          <w:p>
            <w:pPr>
              <w:pStyle w:val="10"/>
              <w:spacing w:line="324" w:lineRule="auto"/>
              <w:ind w:right="157"/>
              <w:jc w:val="both"/>
              <w:rPr>
                <w:sz w:val="18"/>
              </w:rPr>
            </w:pPr>
            <w:r>
              <w:rPr>
                <w:rFonts w:hint="eastAsia"/>
                <w:sz w:val="18"/>
              </w:rPr>
              <w:t>《内蒙古自治区实施</w:t>
            </w:r>
            <w:r>
              <w:rPr>
                <w:sz w:val="18"/>
              </w:rPr>
              <w:t>&lt;中华人民共和国人民防空法&gt;办法》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463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侵占人民防空工程</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《中华人民共和国人民防空法》</w:t>
            </w:r>
          </w:p>
          <w:p>
            <w:pPr>
              <w:pStyle w:val="10"/>
              <w:spacing w:line="324" w:lineRule="auto"/>
              <w:ind w:right="157"/>
              <w:jc w:val="both"/>
              <w:rPr>
                <w:sz w:val="18"/>
              </w:rPr>
            </w:pPr>
            <w:r>
              <w:rPr>
                <w:rFonts w:hint="eastAsia"/>
                <w:sz w:val="18"/>
              </w:rPr>
              <w:t>《内蒙古自治区实施</w:t>
            </w:r>
            <w:r>
              <w:rPr>
                <w:sz w:val="18"/>
              </w:rPr>
              <w:t>&lt;中华人民共和国人民防空法&gt;办法》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464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建设单位和个人拒不缴纳易地建设费的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《中华人民共和国人民防空法》</w:t>
            </w:r>
          </w:p>
          <w:p>
            <w:pPr>
              <w:pStyle w:val="10"/>
              <w:spacing w:line="324" w:lineRule="auto"/>
              <w:ind w:right="157"/>
              <w:jc w:val="both"/>
              <w:rPr>
                <w:sz w:val="18"/>
              </w:rPr>
            </w:pPr>
            <w:r>
              <w:rPr>
                <w:rFonts w:hint="eastAsia"/>
                <w:sz w:val="18"/>
              </w:rPr>
              <w:t>《内蒙古自治区实施</w:t>
            </w:r>
            <w:r>
              <w:rPr>
                <w:sz w:val="18"/>
              </w:rPr>
              <w:t>&lt;中华人民共和国人民防空法&gt;办法》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2"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465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人防</w:t>
            </w:r>
          </w:p>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城市新建民用建筑，违反国家有关规定不修建战时可用于防空的地下室的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《中华人民共和国人民防空法》</w:t>
            </w:r>
          </w:p>
          <w:p>
            <w:pPr>
              <w:pStyle w:val="10"/>
              <w:spacing w:line="324" w:lineRule="auto"/>
              <w:ind w:right="157"/>
              <w:jc w:val="both"/>
              <w:rPr>
                <w:sz w:val="18"/>
              </w:rPr>
            </w:pPr>
            <w:r>
              <w:rPr>
                <w:rFonts w:hint="eastAsia"/>
                <w:sz w:val="18"/>
              </w:rPr>
              <w:t>《内蒙古自治区实施</w:t>
            </w:r>
            <w:r>
              <w:rPr>
                <w:sz w:val="18"/>
              </w:rPr>
              <w:t>&lt;中华人民共和国人民防空法&gt;办法》</w:t>
            </w:r>
          </w:p>
          <w:p>
            <w:pPr>
              <w:pStyle w:val="10"/>
              <w:spacing w:line="324" w:lineRule="auto"/>
              <w:ind w:right="157"/>
              <w:jc w:val="both"/>
              <w:rPr>
                <w:sz w:val="18"/>
              </w:rPr>
            </w:pPr>
            <w:r>
              <w:rPr>
                <w:rFonts w:hint="eastAsia"/>
                <w:sz w:val="18"/>
              </w:rPr>
              <w:t>《内蒙古自治区人民防空工程建设管理规定》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1"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466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消防</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工程监理单位与建设单位或者建筑施工企业串通，弄虚作假，降低消防施工质量的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《中华人民共和国消防法》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467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消防</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建筑施工企业不按照消防设计文件和消防技术标准施工，降低消防施工质量的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《中华人民共和国消防法》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468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消防</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建筑设计单位不按照消防技术标准强制性要求进行消防设计的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《中华人民共和国消防法》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469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消防</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建设单位要求建筑设计单位或者建筑施工企业降低消防技术标准设计、施工的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《中华人民共和国消防法》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470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消防</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建设单位未依照本法规定在验收后报住房和城乡建设主管部门备案的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《中华人民共和国消防法》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471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消防</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公众聚集场所未经消防救援机构许可，擅自投入使用、营业的，或者经核查发现场所使用、营业情况与承诺内容不符的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《中华人民共和国消防法》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472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消防</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其他建设工程验收后经依法抽查不合格，不停止使用的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《中华人民共和国消防法》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473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消防</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依法应当进行消防验收的建设工程，未经消防验收或者消防验收不合格，擅自投入使用的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《中华人民共和国消防法》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474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消防</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依法应当进行消防设计审查的建设工程，未经依法审查或者审查不合格，擅自施工的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《中华人民共和国消防法》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475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违法检测机构负责人的处罚</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476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left="108" w:right="272"/>
              <w:rPr>
                <w:sz w:val="18"/>
              </w:rPr>
            </w:pPr>
            <w:r>
              <w:rPr>
                <w:sz w:val="18"/>
              </w:rPr>
              <w:t xml:space="preserve">未取得相应的资 </w:t>
            </w:r>
            <w:r>
              <w:rPr>
                <w:spacing w:val="-3"/>
                <w:sz w:val="18"/>
              </w:rPr>
              <w:t>质，擅自承担本办</w:t>
            </w:r>
          </w:p>
          <w:p>
            <w:pPr>
              <w:pStyle w:val="10"/>
              <w:jc w:val="both"/>
              <w:rPr>
                <w:rFonts w:ascii="微软雅黑"/>
                <w:sz w:val="18"/>
              </w:rPr>
            </w:pPr>
            <w:r>
              <w:rPr>
                <w:sz w:val="18"/>
              </w:rPr>
              <w:t>法规定的检测业务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477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tcPr>
          <w:p>
            <w:pPr>
              <w:pStyle w:val="10"/>
              <w:rPr>
                <w:rFonts w:ascii="微软雅黑"/>
                <w:sz w:val="18"/>
              </w:rPr>
            </w:pPr>
          </w:p>
          <w:p>
            <w:pPr>
              <w:pStyle w:val="10"/>
              <w:rPr>
                <w:rFonts w:ascii="微软雅黑"/>
                <w:sz w:val="18"/>
              </w:rPr>
            </w:pPr>
          </w:p>
          <w:p>
            <w:pPr>
              <w:pStyle w:val="10"/>
              <w:rPr>
                <w:rFonts w:ascii="微软雅黑"/>
                <w:sz w:val="18"/>
              </w:rPr>
            </w:pPr>
          </w:p>
          <w:p>
            <w:pPr>
              <w:pStyle w:val="10"/>
              <w:spacing w:before="10"/>
              <w:rPr>
                <w:rFonts w:ascii="微软雅黑"/>
                <w:sz w:val="15"/>
              </w:rPr>
            </w:pPr>
          </w:p>
          <w:p>
            <w:pPr>
              <w:pStyle w:val="10"/>
              <w:spacing w:line="324" w:lineRule="auto"/>
              <w:ind w:left="108" w:right="272"/>
              <w:jc w:val="both"/>
              <w:rPr>
                <w:sz w:val="18"/>
              </w:rPr>
            </w:pPr>
            <w:r>
              <w:rPr>
                <w:sz w:val="18"/>
              </w:rPr>
              <w:t>检测机构隐瞒有关情况或者提供虚假材料申请资质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478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tcPr>
          <w:p>
            <w:pPr>
              <w:pStyle w:val="10"/>
              <w:rPr>
                <w:rFonts w:ascii="微软雅黑"/>
                <w:sz w:val="18"/>
              </w:rPr>
            </w:pPr>
          </w:p>
          <w:p>
            <w:pPr>
              <w:pStyle w:val="10"/>
              <w:rPr>
                <w:rFonts w:ascii="微软雅黑"/>
                <w:sz w:val="18"/>
              </w:rPr>
            </w:pPr>
          </w:p>
          <w:p>
            <w:pPr>
              <w:pStyle w:val="10"/>
              <w:rPr>
                <w:rFonts w:ascii="微软雅黑"/>
                <w:sz w:val="18"/>
              </w:rPr>
            </w:pPr>
          </w:p>
          <w:p>
            <w:pPr>
              <w:pStyle w:val="10"/>
              <w:spacing w:before="9"/>
              <w:rPr>
                <w:rFonts w:ascii="微软雅黑"/>
                <w:sz w:val="17"/>
              </w:rPr>
            </w:pPr>
          </w:p>
          <w:p>
            <w:pPr>
              <w:pStyle w:val="10"/>
              <w:spacing w:line="324" w:lineRule="auto"/>
              <w:ind w:left="108" w:right="272"/>
              <w:jc w:val="both"/>
              <w:rPr>
                <w:sz w:val="18"/>
              </w:rPr>
            </w:pPr>
            <w:r>
              <w:rPr>
                <w:sz w:val="18"/>
              </w:rPr>
              <w:t xml:space="preserve">以欺骗、贿赂等不正当手段取得资质证书 </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479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检测机构超出资质范围从事检测活动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480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检测机构涂改、倒卖、出租、出借、转让资质证书</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481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检测机构使用不符合条件的检测人员</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482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检测机构未按规定上报发现的违法违规行为和检测不合格事项</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483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检测机构未按规定在检测报告上签字盖章</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484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检测机构未按照国家有关工程建设强制性标准进行检测</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485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检测机构档案资料管理混乱，造成检测数据无法追溯</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486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检测机构转包检测业务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487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检测机构伪造检测数据，出具虚假检测报告或鉴定结论</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488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委托方委托未取得相应资质的检测机构进行检测</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489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委托方明示或暗示检测机构出具虚假检测报告，篡改或伪造检测报告</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490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委托方弄虚作假送检试样</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《建设工程质量检测管理办法》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491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建设单位在工程竣工验收合格之日起15</w:t>
            </w:r>
            <w:r>
              <w:rPr>
                <w:spacing w:val="-9"/>
                <w:sz w:val="18"/>
              </w:rPr>
              <w:t xml:space="preserve"> 日内未办理工程</w:t>
            </w:r>
            <w:r>
              <w:rPr>
                <w:sz w:val="18"/>
              </w:rPr>
              <w:t>竣工验收备案</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《房屋建筑和市政基础设施工程竣工验收备案管理办法》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492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建设单位将备案机关决定重新组织竣工验收的工程，在重新组织竣工验收前，擅自使用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《房屋建筑和市政基础设施工程竣工验收备案管理办法》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493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建设单位采用虚假证明文件办理工程竣工验收备案</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《房屋建筑和市政基础设施工程竣工验收备案管理办法》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494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sz w:val="18"/>
              </w:rPr>
              <w:t>建设单位在竣工验收过程中有违反国家有关建设工程质量管理规定行为</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《房屋建筑和市政基础设施工程竣工验收备案管理办法》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495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建筑施工企业以欺骗、贿赂等不正当手段取得安全生产许可证</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《建筑施工企业安全生产许可证管理规定》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496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建筑施工企业隐瞒有关情况或者提供虚假材料申请安全生产许可证</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《建筑施工企业安全生产许可证管理规定》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497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冒用安全生产许可证或者使用伪造的安全生产许可证</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《建筑施工企业安全生产许可证管理规定》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498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建筑施工企业转让安全生产许可证</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《建筑施工企业安全生产许可证管理规定》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499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安全生产许可证有效期满未办理延期手续，继续从事建筑施工活动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《建筑施工企业安全生产许可证管理规定》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500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建筑施工企业未取得安全生产许可证擅自从事建筑施工活动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《建筑施工企业安全生产许可证管理规定》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501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建筑施工企业不再具备安全生产条件</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《建筑施工企业安全生产许可证管理规定》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502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注册建造师签署有虚假记载等不合格文件</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503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注册建造师</w:t>
            </w:r>
            <w:r>
              <w:rPr>
                <w:rFonts w:ascii="微软雅黑"/>
                <w:sz w:val="18"/>
              </w:rPr>
              <w:t>在执业过程中实施商业贿赂</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504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505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506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注册建造师在执业过程中，索贿、受贿或者谋取合同约定费用外的其他利益</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507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注册建造师在执业活动中不履行注册建造师义务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508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违反《注册建造师管理规定》，未取得注册证书和执业印，担任大中型建设工程项目施工单位项目负责人，或者以注册建造师的名义从事相关活动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509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勘察、设计单位违反工程建设强制性标准进行勘察、设计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《实施工程建设强制性标准监督规定》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510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建设单位对审查机构提出不符合法律、法规和工程建设强制性标准要求的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511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建设单位提供不真实送审资料的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512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建设单位压缩合理审查周期的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513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审查人员在虚假审查合格书上签字</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514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审查机构出具虚假审查合格书</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515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sz w:val="18"/>
              </w:rPr>
              <w:t>审查机构</w:t>
            </w:r>
            <w:r>
              <w:rPr>
                <w:rFonts w:hint="eastAsia" w:ascii="微软雅黑"/>
                <w:sz w:val="18"/>
              </w:rPr>
              <w:t>已出具审查合格书的施工图，仍有违反法律、法规和工程建设强制性标准</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516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w:t>
            </w:r>
            <w:r>
              <w:rPr>
                <w:sz w:val="18"/>
              </w:rPr>
              <w:t>审查机构</w:t>
            </w:r>
            <w:r>
              <w:rPr>
                <w:rFonts w:hint="eastAsia" w:ascii="微软雅黑"/>
                <w:sz w:val="18"/>
              </w:rPr>
              <w:t>按规定在审查合格书和施工图上签字盖章</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517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审查机构未按规定填写审查意见告知书</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518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审查机构未按规定上报审查过程中发现的违法违规行为的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519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审查机构未按规定的内容进行审查的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520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审查机构使用不符合条件审查人员的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521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审查机构超出范围从事施工图审查的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《房屋建筑和市政基础设施工程施工图设计文件审查管理办法》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522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注册工程师在执业活动中以个人名义承接业务的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《勘察设计注册工程师管理规定》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523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注册工程师在执业活动中涂改、出租、出借或者以形式非法转让注册证书或者执业印章的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《勘察设计注册工程师管理规定》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524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注册工程师泄露执业中应当保守的秘密并造成严重后果</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《勘察设计注册工程师管理规定》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525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注册工程师超出本专业规定范围或者聘用单位业务范围从事执业活动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《勘察设计注册工程师管理规定》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526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注册工程师弄虚作假提供执业活动成果</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《勘察设计注册工程师管理规定》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527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注册工程师其它违反法律、法规、规章的行为</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《勘察设计注册工程师管理规定》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528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以欺骗、贿赂等不正当手段取得勘察工程师注册证书</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《勘察设计注册工程师管理规定》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529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违反本细则，注册建筑师或者其聘用单位未按照要求提供注册建筑师信用档案信息</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《中华人民共和国注册建筑师条例实施细则》</w:t>
            </w:r>
          </w:p>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530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违反本细则，涂改、倒卖、出租、出借或者以其他形式非法转让执业资格证书、互认资格证书、注册证书和执业印章</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《中华人民共和国注册建筑师条例实施细则》</w:t>
            </w:r>
          </w:p>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531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违反本细则，未办理变更注册而继续执业</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《中华人民共和国注册建筑师条例实施细则》</w:t>
            </w:r>
          </w:p>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532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违反本细则，未受聘并注册于中华人民共和国境内一个具有工程设计资质的单位，从事建筑工程设计执业活动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《中华人民共和国注册建筑师条例实施细则》</w:t>
            </w:r>
          </w:p>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533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以欺骗、贿赂等不正当手段取得注册证书和执业印章</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《中华人民共和国注册建筑师条例实施细则》</w:t>
            </w:r>
          </w:p>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534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隐瞒有关情况或者提供虚假材料申请注册</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《中华人民共和国注册建筑师条例实施细则》</w:t>
            </w:r>
          </w:p>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535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违反本条例规定，未经注册建筑师同意擅自修改其设计图纸的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536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因建筑设计质量不合格发生重大责任事故，造成重大损失的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537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二级注册建筑师以一级注册建筑师的名义执行业务或者超越国家规定的执业范围执行业务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w:t>
            </w:r>
          </w:p>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538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注册建筑师准许他人以本人名义执行业务的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w:t>
            </w:r>
          </w:p>
          <w:p>
            <w:pPr>
              <w:pStyle w:val="10"/>
              <w:spacing w:line="324" w:lineRule="auto"/>
              <w:ind w:right="157"/>
              <w:jc w:val="both"/>
              <w:rPr>
                <w:sz w:val="18"/>
              </w:rPr>
            </w:pPr>
            <w:r>
              <w:rPr>
                <w:rFonts w:hint="eastAsia"/>
                <w:sz w:val="18"/>
              </w:rPr>
              <w:t>《注册建造师管理规定》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539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注册建筑师在建筑设计或者相关业务中侵犯他人合法权益</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540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注册建筑师同时受聘于二个以上建筑设计单位执行业务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541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注册建筑师以个人名义承接注册建筑师业务、收取费用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542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经注册擅自以注册建筑师名义从事注册建筑师业务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《中华人民共和国注册建筑师条例》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543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工程监理企业未按照本规定要求提供工程监理企业信用档案信息</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《工程监理企业资质管理规定》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544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工程监理企业涂改、伪造、出借、转让工程监理企业资质证书</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《工程监理企业资质管理规定》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545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工程监理企业在监理过程中实施商业贿赂</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《工程监理企业资质管理规定》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546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以欺骗、贿赂等不正当手段取得工程监理企业资质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《工程监理企业资质管理规定》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547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建筑业企业在建筑施工中未委托有资格的单位检测或者检验安全设备及机械设备</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548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建筑业企业在建筑施工中施工现场机械设备安全设施安装、设置后未检验合格，进行使用的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549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建筑业企业在建筑施工中，用于工程的建筑材料、构配件、安全防护用品、安全设施、机具、机械设备和电气装置等，不符合建筑施工安全和其他有关技术规范、标准的要求的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550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w:t>
            </w:r>
            <w:r>
              <w:rPr>
                <w:rFonts w:ascii="微软雅黑"/>
                <w:sz w:val="18"/>
              </w:rPr>
              <w:t>(或者其委托的建设工程监理单位)任意降低工程类别、压低工程造价，影响建筑施工安全的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551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w:t>
            </w:r>
            <w:r>
              <w:rPr>
                <w:rFonts w:ascii="微软雅黑"/>
                <w:sz w:val="18"/>
              </w:rPr>
              <w:t>(或者其委托的建设工程监理单位)未按照国家和自治区的有关法规，通过招投标选择与建设项目的性质和规模等级相适应的施工企业，并监督其按照国家技术规范、规程、标准组织施工的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552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工程设计单位在设计中硬性规定使用某一厂家的设备、材料和产品的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553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工程设计单位未施工中发现设计图纸有碍作业人员安全的，根据施工单位的要求，经建设行政主管部门批准，由建设单位组织及时进行设计变更</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554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工程设计单位未协助施工企业提出施工安全技术措施</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555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程设计单位未按照设计规范、标准提供设计图纸，保证工程安全性能的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556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w:t>
            </w:r>
            <w:r>
              <w:rPr>
                <w:rFonts w:ascii="微软雅黑"/>
                <w:sz w:val="18"/>
              </w:rPr>
              <w:t>(或者其委托的建设工程监理单位)未按照规定支付安全技术措施经费</w:t>
            </w:r>
            <w:r>
              <w:rPr>
                <w:rFonts w:hint="eastAsia" w:ascii="微软雅黑"/>
                <w:sz w:val="18"/>
              </w:rPr>
              <w:t>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557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w:t>
            </w:r>
            <w:r>
              <w:rPr>
                <w:rFonts w:ascii="微软雅黑"/>
                <w:sz w:val="18"/>
              </w:rPr>
              <w:t>(或者其委托的建设工程监理单位)在建筑施工中未按要求制定监督建筑施工单位的安全工作，发现问题提出整改意见，对拒不改正的，可向同级建设行政主管部门反映情况，要求调查处理</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558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建设单位（或者其委托的建设工程监理单位）在建筑施工中未向施工企业提供保障施工安全的水文、地质、地下管线等基础资料以及必要的安全防护条件</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559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建筑业企业在建筑施工中未向职工大会或者职工代表大会报告施工安全工作</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560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建筑业企业在建筑施工中未按照有关规定报告、调查、处理施工事故</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561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建筑业企业在建筑施工中施工现场不符合文明施工的规定，违章指挥、违章作业，生产和生活设施不符合安全要求和卫生标准</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562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建筑业企业在建筑施工中施工现场周边要未设置围挡设施，实行封闭管理，悬挂张贴醒目的标志或者告示，阻止无关人员进入施工现场</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563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建筑业企业在建筑施工中未施工安全管理人员进行严格考核，未持有关部门核发的证件上岗</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564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建筑业企业在建筑施工中未对职工进行实用安全技术教育、培训、考核，对新录用人员和其他劳务人员进行上岗前的三级安全教育</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565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建筑业企业在建筑施工中未按照规定使用安全技术措施经费的处罚</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566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建筑业企业在建筑施工中企业未设立安全管理机构或者配备安全管理人员</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《内蒙古自治区建筑施工安全管理条例》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567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勘察、设计单位未依据项目批准文件，城乡规划及专业规划，国家规定的建设工程勘察、设计深度要求编制建设工程勘察、设计文件</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《建设工程勘察设计管理条例》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568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建设工程勘察、设计单位将所承揽的建设工程勘察、设计转包的处罚</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《建设工程勘察设计管理条例》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569</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发包方将建设工程勘察、设计业务发包给不具有相应资质等级的建设工程勘察、设计单位</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《建设工程勘察设计管理条例》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570</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建设工程勘察、设计注册执业人员和其他专业技术人员未受聘于一个建设工程勘察、设计单位或者同时受聘于两个以上建设工程勘察、设计单位，从事建设工程勘察、设计活动的，责令停止违法行为</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《建设工程勘察设计管理条例》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571</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未经注册，擅自以注册建设工程勘察、设计人员的名义从事建设工程勘察、设计活动</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《建设工程勘察设计管理条例》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572</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注册建筑师、注册结构工程师、监理工程师等注册执业人员因过错造成质量事故</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573</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发生重大工程质量事故隐瞒不报，谎报或者拖延报告日期</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《建设工程勘察设计管理条例》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574</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工程监理单位与被监理工程的施工承包单位以及建筑材料、建筑构配件和设备供应单位有隶属关系或者其他利害关系承担该项建设工程的监理业务</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575</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工程监理单位将不合格的建设工程、建筑材料、建筑构配件和设备按照合格签字</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《建设工程质量管理条例》</w:t>
            </w:r>
          </w:p>
          <w:p>
            <w:pPr>
              <w:pStyle w:val="10"/>
              <w:spacing w:line="324" w:lineRule="auto"/>
              <w:ind w:right="157"/>
              <w:jc w:val="both"/>
              <w:rPr>
                <w:sz w:val="18"/>
              </w:rPr>
            </w:pPr>
            <w:r>
              <w:rPr>
                <w:rFonts w:hint="eastAsia"/>
                <w:sz w:val="18"/>
              </w:rPr>
              <w:t>《民用建筑节能条例》</w:t>
            </w:r>
          </w:p>
          <w:p>
            <w:pPr>
              <w:pStyle w:val="10"/>
              <w:spacing w:line="324" w:lineRule="auto"/>
              <w:ind w:right="157"/>
              <w:jc w:val="both"/>
              <w:rPr>
                <w:sz w:val="18"/>
              </w:rPr>
            </w:pPr>
            <w:r>
              <w:rPr>
                <w:rFonts w:hint="eastAsia"/>
                <w:sz w:val="18"/>
              </w:rPr>
              <w:t>《实施工程建设强制性标准监督规定》</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576</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施工单位未对建筑材料、建筑构配件、设备和商品混凝土进行检验，或者未对涉及结构安全的试块、试件以及有关材料取样检测</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《建设工程质量管理条例》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ascii="微软雅黑"/>
                <w:sz w:val="18"/>
              </w:rPr>
            </w:pPr>
            <w:r>
              <w:rPr>
                <w:rFonts w:hint="eastAsia" w:ascii="微软雅黑"/>
                <w:sz w:val="18"/>
              </w:rPr>
              <w:t>577</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sz w:val="18"/>
              </w:rPr>
            </w:pPr>
            <w:r>
              <w:rPr>
                <w:rFonts w:hint="eastAsia"/>
                <w:sz w:val="18"/>
              </w:rPr>
              <w:t>工程</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r>
              <w:rPr>
                <w:rFonts w:hint="eastAsia" w:ascii="微软雅黑"/>
                <w:sz w:val="18"/>
              </w:rPr>
              <w:t>建设工程质量检测试验单位出据虚假检测、试验报告的</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jc w:val="both"/>
              <w:rPr>
                <w:sz w:val="18"/>
              </w:rPr>
            </w:pPr>
            <w:r>
              <w:rPr>
                <w:rFonts w:hint="eastAsia"/>
                <w:sz w:val="18"/>
              </w:rPr>
              <w:t>《内蒙古自治区建设工程质量管理条例》</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p/>
    <w:p/>
    <w:tbl>
      <w:tblPr>
        <w:tblStyle w:val="5"/>
        <w:tblW w:w="0" w:type="auto"/>
        <w:tblInd w:w="2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782"/>
        <w:gridCol w:w="1833"/>
        <w:gridCol w:w="2116"/>
        <w:gridCol w:w="1269"/>
        <w:gridCol w:w="1132"/>
        <w:gridCol w:w="1027"/>
        <w:gridCol w:w="3468"/>
        <w:gridCol w:w="654"/>
        <w:gridCol w:w="558"/>
        <w:gridCol w:w="556"/>
        <w:gridCol w:w="678"/>
        <w:gridCol w:w="515"/>
        <w:gridCol w:w="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0" w:hRule="atLeast"/>
        </w:trPr>
        <w:tc>
          <w:tcPr>
            <w:tcW w:w="487" w:type="dxa"/>
            <w:tcBorders>
              <w:top w:val="single" w:color="000000" w:sz="4" w:space="0"/>
              <w:left w:val="single" w:color="000000" w:sz="4" w:space="0"/>
              <w:bottom w:val="single" w:color="000000" w:sz="4" w:space="0"/>
              <w:right w:val="single" w:color="000000" w:sz="4" w:space="0"/>
            </w:tcBorders>
            <w:noWrap/>
            <w:vAlign w:val="center"/>
          </w:tcPr>
          <w:p>
            <w:pPr>
              <w:pStyle w:val="10"/>
              <w:jc w:val="center"/>
              <w:rPr>
                <w:rFonts w:hint="eastAsia" w:ascii="微软雅黑" w:eastAsia="宋体"/>
                <w:sz w:val="18"/>
                <w:lang w:val="en-US" w:eastAsia="zh-CN"/>
              </w:rPr>
            </w:pPr>
            <w:r>
              <w:rPr>
                <w:rFonts w:hint="eastAsia" w:ascii="微软雅黑"/>
                <w:sz w:val="18"/>
              </w:rPr>
              <w:t>57</w:t>
            </w:r>
            <w:r>
              <w:rPr>
                <w:rFonts w:hint="eastAsia" w:ascii="微软雅黑"/>
                <w:sz w:val="18"/>
                <w:lang w:val="en-US" w:eastAsia="zh-CN"/>
              </w:rPr>
              <w:t>8</w:t>
            </w:r>
          </w:p>
        </w:tc>
        <w:tc>
          <w:tcPr>
            <w:tcW w:w="782"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sz w:val="18"/>
              </w:rPr>
            </w:pPr>
          </w:p>
          <w:p>
            <w:pPr>
              <w:pStyle w:val="10"/>
              <w:jc w:val="center"/>
              <w:rPr>
                <w:sz w:val="18"/>
              </w:rPr>
            </w:pPr>
            <w:r>
              <w:rPr>
                <w:rFonts w:hint="eastAsia"/>
                <w:sz w:val="18"/>
              </w:rPr>
              <w:t>污染</w:t>
            </w:r>
          </w:p>
          <w:p>
            <w:pPr>
              <w:pStyle w:val="10"/>
              <w:jc w:val="center"/>
              <w:rPr>
                <w:sz w:val="18"/>
              </w:rPr>
            </w:pPr>
            <w:r>
              <w:rPr>
                <w:sz w:val="18"/>
              </w:rPr>
              <w:t>管理</w:t>
            </w:r>
          </w:p>
        </w:tc>
        <w:tc>
          <w:tcPr>
            <w:tcW w:w="1833"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hint="default" w:ascii="微软雅黑" w:eastAsia="宋体"/>
                <w:sz w:val="18"/>
                <w:lang w:val="en-US" w:eastAsia="zh-CN"/>
              </w:rPr>
            </w:pPr>
            <w:r>
              <w:rPr>
                <w:rFonts w:hint="eastAsia" w:ascii="微软雅黑"/>
                <w:sz w:val="18"/>
              </w:rPr>
              <w:t>社会生活噪声污染</w:t>
            </w:r>
          </w:p>
        </w:tc>
        <w:tc>
          <w:tcPr>
            <w:tcW w:w="2116"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机构职能、权责清 单、执法人员名单； </w:t>
            </w:r>
          </w:p>
          <w:p>
            <w:pPr>
              <w:pStyle w:val="10"/>
              <w:spacing w:line="320" w:lineRule="exact"/>
              <w:jc w:val="both"/>
              <w:rPr>
                <w:sz w:val="18"/>
                <w:lang w:val="en-US"/>
              </w:rPr>
            </w:pPr>
            <w:r>
              <w:rPr>
                <w:rFonts w:hint="eastAsia"/>
                <w:sz w:val="18"/>
                <w:lang w:val="en-US"/>
              </w:rPr>
              <w:t>2.</w:t>
            </w:r>
            <w:r>
              <w:rPr>
                <w:sz w:val="18"/>
                <w:lang w:val="en-US"/>
              </w:rPr>
              <w:t xml:space="preserve">执法程序或行政强制流程图； </w:t>
            </w:r>
          </w:p>
          <w:p>
            <w:pPr>
              <w:pStyle w:val="10"/>
              <w:spacing w:line="320" w:lineRule="exact"/>
              <w:jc w:val="both"/>
              <w:rPr>
                <w:sz w:val="18"/>
                <w:lang w:val="en-US"/>
              </w:rPr>
            </w:pPr>
            <w:r>
              <w:rPr>
                <w:rFonts w:hint="eastAsia"/>
                <w:sz w:val="18"/>
                <w:lang w:val="en-US"/>
              </w:rPr>
              <w:t>3.</w:t>
            </w:r>
            <w:r>
              <w:rPr>
                <w:sz w:val="18"/>
                <w:lang w:val="en-US"/>
              </w:rPr>
              <w:t xml:space="preserve">执法依据； </w:t>
            </w:r>
          </w:p>
          <w:p>
            <w:pPr>
              <w:pStyle w:val="10"/>
              <w:spacing w:line="320" w:lineRule="exact"/>
              <w:jc w:val="both"/>
              <w:rPr>
                <w:sz w:val="18"/>
                <w:lang w:val="en-US"/>
              </w:rPr>
            </w:pPr>
            <w:r>
              <w:rPr>
                <w:rFonts w:hint="eastAsia"/>
                <w:sz w:val="18"/>
                <w:lang w:val="en-US"/>
              </w:rPr>
              <w:t>4.</w:t>
            </w:r>
            <w:r>
              <w:rPr>
                <w:sz w:val="18"/>
                <w:lang w:val="en-US"/>
              </w:rPr>
              <w:t xml:space="preserve">处罚决定； </w:t>
            </w:r>
          </w:p>
          <w:p>
            <w:pPr>
              <w:pStyle w:val="10"/>
              <w:spacing w:line="320" w:lineRule="exact"/>
              <w:jc w:val="both"/>
              <w:rPr>
                <w:sz w:val="18"/>
                <w:lang w:val="en-US"/>
              </w:rPr>
            </w:pPr>
            <w:r>
              <w:rPr>
                <w:rFonts w:hint="eastAsia"/>
                <w:sz w:val="18"/>
                <w:lang w:val="en-US"/>
              </w:rPr>
              <w:t>5.</w:t>
            </w:r>
            <w:r>
              <w:rPr>
                <w:sz w:val="18"/>
                <w:lang w:val="en-US"/>
              </w:rPr>
              <w:t>救济渠道。</w:t>
            </w:r>
          </w:p>
        </w:tc>
        <w:tc>
          <w:tcPr>
            <w:tcW w:w="1269" w:type="dxa"/>
            <w:tcBorders>
              <w:top w:val="single" w:color="000000" w:sz="4" w:space="0"/>
              <w:left w:val="single" w:color="000000" w:sz="4" w:space="0"/>
              <w:bottom w:val="single" w:color="000000" w:sz="4" w:space="0"/>
              <w:right w:val="single" w:color="000000" w:sz="4" w:space="0"/>
            </w:tcBorders>
            <w:noWrap/>
            <w:vAlign w:val="center"/>
          </w:tcPr>
          <w:p>
            <w:pPr>
              <w:pStyle w:val="10"/>
              <w:spacing w:line="324" w:lineRule="auto"/>
              <w:ind w:right="157" w:rightChars="0"/>
              <w:jc w:val="both"/>
              <w:rPr>
                <w:sz w:val="18"/>
              </w:rPr>
            </w:pPr>
            <w:r>
              <w:rPr>
                <w:rFonts w:hint="eastAsia"/>
                <w:sz w:val="18"/>
              </w:rPr>
              <w:t>《中华人民共和国环境噪声污染防治法》</w:t>
            </w:r>
          </w:p>
        </w:tc>
        <w:tc>
          <w:tcPr>
            <w:tcW w:w="1132" w:type="dxa"/>
            <w:tcBorders>
              <w:top w:val="single" w:color="000000" w:sz="4" w:space="0"/>
              <w:left w:val="single" w:color="000000" w:sz="4" w:space="0"/>
              <w:bottom w:val="single" w:color="000000" w:sz="4" w:space="0"/>
              <w:right w:val="single" w:color="000000" w:sz="4" w:space="0"/>
            </w:tcBorders>
            <w:noWrap/>
            <w:vAlign w:val="center"/>
          </w:tcPr>
          <w:p>
            <w:pPr>
              <w:pStyle w:val="10"/>
              <w:spacing w:line="320" w:lineRule="exact"/>
              <w:jc w:val="both"/>
              <w:rPr>
                <w:sz w:val="18"/>
                <w:lang w:val="en-US"/>
              </w:rPr>
            </w:pPr>
            <w:r>
              <w:rPr>
                <w:rFonts w:hint="eastAsia"/>
                <w:sz w:val="18"/>
                <w:lang w:val="en-US"/>
              </w:rPr>
              <w:t>1.</w:t>
            </w:r>
            <w:r>
              <w:rPr>
                <w:sz w:val="18"/>
                <w:lang w:val="en-US"/>
              </w:rPr>
              <w:t xml:space="preserve">处罚决定内容：（动态调整）； </w:t>
            </w:r>
          </w:p>
          <w:p>
            <w:pPr>
              <w:pStyle w:val="10"/>
              <w:spacing w:line="320" w:lineRule="exact"/>
              <w:jc w:val="both"/>
              <w:rPr>
                <w:sz w:val="18"/>
                <w:lang w:val="en-US"/>
              </w:rPr>
            </w:pPr>
            <w:r>
              <w:rPr>
                <w:rFonts w:hint="eastAsia"/>
                <w:sz w:val="18"/>
                <w:lang w:val="en-US"/>
              </w:rPr>
              <w:t>2.</w:t>
            </w:r>
            <w:r>
              <w:rPr>
                <w:sz w:val="18"/>
                <w:lang w:val="en-US"/>
              </w:rPr>
              <w:t xml:space="preserve">处 罚 决 定 ：20 个 工作日内。 </w:t>
            </w:r>
          </w:p>
        </w:tc>
        <w:tc>
          <w:tcPr>
            <w:tcW w:w="1027" w:type="dxa"/>
            <w:tcBorders>
              <w:top w:val="single" w:color="000000" w:sz="4" w:space="0"/>
              <w:left w:val="single" w:color="000000" w:sz="4" w:space="0"/>
              <w:bottom w:val="single" w:color="000000" w:sz="4" w:space="0"/>
              <w:right w:val="single" w:color="000000" w:sz="4" w:space="0"/>
            </w:tcBorders>
            <w:noWrap/>
            <w:vAlign w:val="center"/>
          </w:tcPr>
          <w:p>
            <w:pPr>
              <w:pStyle w:val="10"/>
              <w:spacing w:before="1" w:line="324" w:lineRule="auto"/>
              <w:ind w:right="101" w:rightChars="0"/>
              <w:jc w:val="both"/>
              <w:rPr>
                <w:sz w:val="18"/>
              </w:rPr>
            </w:pPr>
            <w:r>
              <w:rPr>
                <w:sz w:val="18"/>
              </w:rPr>
              <w:t>乌兰浩特市</w:t>
            </w:r>
            <w:r>
              <w:rPr>
                <w:rFonts w:hint="eastAsia"/>
                <w:sz w:val="18"/>
              </w:rPr>
              <w:t>城市管理综合执法局</w:t>
            </w:r>
          </w:p>
        </w:tc>
        <w:tc>
          <w:tcPr>
            <w:tcW w:w="3468" w:type="dxa"/>
            <w:tcBorders>
              <w:top w:val="single" w:color="000000" w:sz="4" w:space="0"/>
              <w:left w:val="single" w:color="000000" w:sz="4" w:space="0"/>
              <w:bottom w:val="single" w:color="000000" w:sz="4" w:space="0"/>
              <w:right w:val="single" w:color="000000" w:sz="4" w:space="0"/>
            </w:tcBorders>
            <w:noWrap/>
            <w:vAlign w:val="center"/>
          </w:tcPr>
          <w:p>
            <w:pPr>
              <w:pStyle w:val="10"/>
              <w:spacing w:before="4"/>
              <w:jc w:val="both"/>
              <w:rPr>
                <w:rFonts w:ascii="微软雅黑"/>
                <w:sz w:val="9"/>
              </w:rPr>
            </w:pPr>
          </w:p>
          <w:p>
            <w:pPr>
              <w:pStyle w:val="10"/>
              <w:numPr>
                <w:ilvl w:val="0"/>
                <w:numId w:val="1"/>
              </w:numPr>
              <w:tabs>
                <w:tab w:val="left" w:pos="294"/>
              </w:tabs>
              <w:ind w:hanging="182"/>
              <w:jc w:val="both"/>
              <w:rPr>
                <w:sz w:val="18"/>
              </w:rPr>
            </w:pPr>
            <w:r>
              <w:rPr>
                <w:sz w:val="18"/>
              </w:rPr>
              <w:t xml:space="preserve">政府网站 □政府公报 </w:t>
            </w:r>
          </w:p>
          <w:p>
            <w:pPr>
              <w:pStyle w:val="10"/>
              <w:spacing w:before="82"/>
              <w:ind w:left="112"/>
              <w:jc w:val="both"/>
              <w:rPr>
                <w:sz w:val="18"/>
              </w:rPr>
            </w:pPr>
            <w:r>
              <w:rPr>
                <w:sz w:val="18"/>
              </w:rPr>
              <w:t xml:space="preserve">□两微一端 □发布会/听证会 </w:t>
            </w:r>
          </w:p>
          <w:p>
            <w:pPr>
              <w:pStyle w:val="10"/>
              <w:spacing w:before="81"/>
              <w:ind w:left="112"/>
              <w:jc w:val="both"/>
              <w:rPr>
                <w:sz w:val="18"/>
              </w:rPr>
            </w:pPr>
            <w:r>
              <w:rPr>
                <w:sz w:val="18"/>
              </w:rPr>
              <w:t xml:space="preserve">□广播电视 □纸质媒体 </w:t>
            </w:r>
          </w:p>
          <w:p>
            <w:pPr>
              <w:pStyle w:val="10"/>
              <w:numPr>
                <w:ilvl w:val="0"/>
                <w:numId w:val="1"/>
              </w:numPr>
              <w:tabs>
                <w:tab w:val="left" w:pos="294"/>
              </w:tabs>
              <w:spacing w:before="81"/>
              <w:ind w:hanging="182"/>
              <w:jc w:val="both"/>
              <w:rPr>
                <w:sz w:val="18"/>
              </w:rPr>
            </w:pPr>
            <w:r>
              <w:rPr>
                <w:sz w:val="18"/>
              </w:rPr>
              <w:t xml:space="preserve">公开查阅点 □政务服务中心 </w:t>
            </w:r>
          </w:p>
          <w:p>
            <w:pPr>
              <w:pStyle w:val="10"/>
              <w:spacing w:before="82"/>
              <w:ind w:left="112"/>
              <w:jc w:val="both"/>
              <w:rPr>
                <w:sz w:val="18"/>
              </w:rPr>
            </w:pPr>
            <w:r>
              <w:rPr>
                <w:sz w:val="18"/>
              </w:rPr>
              <w:t xml:space="preserve">□便民服务站 □入户/现场 </w:t>
            </w:r>
          </w:p>
          <w:p>
            <w:pPr>
              <w:pStyle w:val="10"/>
              <w:spacing w:before="81" w:line="324" w:lineRule="auto"/>
              <w:ind w:left="112" w:right="188"/>
              <w:jc w:val="both"/>
              <w:rPr>
                <w:sz w:val="18"/>
              </w:rPr>
            </w:pPr>
            <w:r>
              <w:rPr>
                <w:sz w:val="18"/>
              </w:rPr>
              <w:t xml:space="preserve">□社区/企事业单位/村公示栏（电子屏） </w:t>
            </w:r>
          </w:p>
          <w:p>
            <w:pPr>
              <w:pStyle w:val="10"/>
              <w:spacing w:before="1"/>
              <w:ind w:left="112" w:leftChars="0"/>
              <w:jc w:val="both"/>
              <w:rPr>
                <w:sz w:val="18"/>
              </w:rPr>
            </w:pPr>
            <w:r>
              <w:rPr>
                <w:sz w:val="18"/>
              </w:rPr>
              <w:t>□精准推送 □其他</w:t>
            </w:r>
          </w:p>
        </w:tc>
        <w:tc>
          <w:tcPr>
            <w:tcW w:w="654"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Arial" w:hAnsi="Arial"/>
                <w:sz w:val="18"/>
              </w:rPr>
            </w:pPr>
            <w:r>
              <w:rPr>
                <w:rFonts w:hint="eastAsia" w:ascii="Arial" w:hAnsi="Arial"/>
                <w:sz w:val="18"/>
              </w:rPr>
              <w:t xml:space="preserve">   </w:t>
            </w:r>
            <w:r>
              <w:rPr>
                <w:rFonts w:ascii="Arial" w:hAnsi="Arial"/>
                <w:sz w:val="18"/>
              </w:rPr>
              <w:t>√</w:t>
            </w:r>
          </w:p>
        </w:tc>
        <w:tc>
          <w:tcPr>
            <w:tcW w:w="55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56"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678"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p>
            <w:pPr>
              <w:pStyle w:val="10"/>
              <w:jc w:val="both"/>
              <w:rPr>
                <w:rFonts w:ascii="微软雅黑"/>
                <w:sz w:val="18"/>
              </w:rPr>
            </w:pPr>
          </w:p>
        </w:tc>
        <w:tc>
          <w:tcPr>
            <w:tcW w:w="515" w:type="dxa"/>
            <w:tcBorders>
              <w:top w:val="single" w:color="000000" w:sz="4" w:space="0"/>
              <w:left w:val="single" w:color="000000" w:sz="4" w:space="0"/>
              <w:bottom w:val="single" w:color="000000" w:sz="4" w:space="0"/>
              <w:right w:val="single" w:color="000000" w:sz="4" w:space="0"/>
            </w:tcBorders>
            <w:noWrap/>
            <w:vAlign w:val="center"/>
          </w:tcPr>
          <w:p>
            <w:pPr>
              <w:pStyle w:val="10"/>
              <w:ind w:firstLine="180" w:firstLineChars="100"/>
              <w:jc w:val="both"/>
              <w:rPr>
                <w:rFonts w:ascii="Arial" w:hAnsi="Arial"/>
                <w:sz w:val="18"/>
              </w:rPr>
            </w:pPr>
            <w:r>
              <w:rPr>
                <w:rFonts w:ascii="Arial" w:hAnsi="Arial"/>
                <w:sz w:val="18"/>
              </w:rPr>
              <w:t>√</w:t>
            </w:r>
          </w:p>
        </w:tc>
        <w:tc>
          <w:tcPr>
            <w:tcW w:w="577" w:type="dxa"/>
            <w:tcBorders>
              <w:top w:val="single" w:color="000000" w:sz="4" w:space="0"/>
              <w:left w:val="single" w:color="000000" w:sz="4" w:space="0"/>
              <w:bottom w:val="single" w:color="000000" w:sz="4" w:space="0"/>
              <w:right w:val="single" w:color="000000" w:sz="4" w:space="0"/>
            </w:tcBorders>
            <w:noWrap/>
            <w:vAlign w:val="center"/>
          </w:tcPr>
          <w:p>
            <w:pPr>
              <w:pStyle w:val="10"/>
              <w:jc w:val="both"/>
              <w:rPr>
                <w:rFonts w:ascii="Times New Roman"/>
                <w:sz w:val="18"/>
              </w:rPr>
            </w:pPr>
          </w:p>
        </w:tc>
      </w:tr>
    </w:tbl>
    <w:p/>
    <w:sectPr>
      <w:pgSz w:w="16838" w:h="11906" w:orient="landscape"/>
      <w:pgMar w:top="1077" w:right="284" w:bottom="306" w:left="3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A17AD"/>
    <w:multiLevelType w:val="multilevel"/>
    <w:tmpl w:val="32BA17AD"/>
    <w:lvl w:ilvl="0" w:tentative="0">
      <w:start w:val="0"/>
      <w:numFmt w:val="bullet"/>
      <w:lvlText w:val="■"/>
      <w:lvlJc w:val="left"/>
      <w:pPr>
        <w:ind w:left="293" w:hanging="181"/>
      </w:pPr>
      <w:rPr>
        <w:rFonts w:hint="default" w:ascii="宋体" w:hAnsi="宋体" w:eastAsia="宋体" w:cs="宋体"/>
        <w:spacing w:val="-2"/>
        <w:w w:val="100"/>
        <w:sz w:val="16"/>
        <w:szCs w:val="16"/>
        <w:lang w:val="zh-CN" w:eastAsia="zh-CN" w:bidi="zh-CN"/>
      </w:rPr>
    </w:lvl>
    <w:lvl w:ilvl="1" w:tentative="0">
      <w:start w:val="0"/>
      <w:numFmt w:val="bullet"/>
      <w:lvlText w:val="•"/>
      <w:lvlJc w:val="left"/>
      <w:pPr>
        <w:ind w:left="588" w:hanging="181"/>
      </w:pPr>
      <w:rPr>
        <w:rFonts w:hint="default"/>
        <w:lang w:val="zh-CN" w:eastAsia="zh-CN" w:bidi="zh-CN"/>
      </w:rPr>
    </w:lvl>
    <w:lvl w:ilvl="2" w:tentative="0">
      <w:start w:val="0"/>
      <w:numFmt w:val="bullet"/>
      <w:lvlText w:val="•"/>
      <w:lvlJc w:val="left"/>
      <w:pPr>
        <w:ind w:left="876" w:hanging="181"/>
      </w:pPr>
      <w:rPr>
        <w:rFonts w:hint="default"/>
        <w:lang w:val="zh-CN" w:eastAsia="zh-CN" w:bidi="zh-CN"/>
      </w:rPr>
    </w:lvl>
    <w:lvl w:ilvl="3" w:tentative="0">
      <w:start w:val="0"/>
      <w:numFmt w:val="bullet"/>
      <w:lvlText w:val="•"/>
      <w:lvlJc w:val="left"/>
      <w:pPr>
        <w:ind w:left="1164" w:hanging="181"/>
      </w:pPr>
      <w:rPr>
        <w:rFonts w:hint="default"/>
        <w:lang w:val="zh-CN" w:eastAsia="zh-CN" w:bidi="zh-CN"/>
      </w:rPr>
    </w:lvl>
    <w:lvl w:ilvl="4" w:tentative="0">
      <w:start w:val="0"/>
      <w:numFmt w:val="bullet"/>
      <w:lvlText w:val="•"/>
      <w:lvlJc w:val="left"/>
      <w:pPr>
        <w:ind w:left="1453" w:hanging="181"/>
      </w:pPr>
      <w:rPr>
        <w:rFonts w:hint="default"/>
        <w:lang w:val="zh-CN" w:eastAsia="zh-CN" w:bidi="zh-CN"/>
      </w:rPr>
    </w:lvl>
    <w:lvl w:ilvl="5" w:tentative="0">
      <w:start w:val="0"/>
      <w:numFmt w:val="bullet"/>
      <w:lvlText w:val="•"/>
      <w:lvlJc w:val="left"/>
      <w:pPr>
        <w:ind w:left="1741" w:hanging="181"/>
      </w:pPr>
      <w:rPr>
        <w:rFonts w:hint="default"/>
        <w:lang w:val="zh-CN" w:eastAsia="zh-CN" w:bidi="zh-CN"/>
      </w:rPr>
    </w:lvl>
    <w:lvl w:ilvl="6" w:tentative="0">
      <w:start w:val="0"/>
      <w:numFmt w:val="bullet"/>
      <w:lvlText w:val="•"/>
      <w:lvlJc w:val="left"/>
      <w:pPr>
        <w:ind w:left="2029" w:hanging="181"/>
      </w:pPr>
      <w:rPr>
        <w:rFonts w:hint="default"/>
        <w:lang w:val="zh-CN" w:eastAsia="zh-CN" w:bidi="zh-CN"/>
      </w:rPr>
    </w:lvl>
    <w:lvl w:ilvl="7" w:tentative="0">
      <w:start w:val="0"/>
      <w:numFmt w:val="bullet"/>
      <w:lvlText w:val="•"/>
      <w:lvlJc w:val="left"/>
      <w:pPr>
        <w:ind w:left="2318" w:hanging="181"/>
      </w:pPr>
      <w:rPr>
        <w:rFonts w:hint="default"/>
        <w:lang w:val="zh-CN" w:eastAsia="zh-CN" w:bidi="zh-CN"/>
      </w:rPr>
    </w:lvl>
    <w:lvl w:ilvl="8" w:tentative="0">
      <w:start w:val="0"/>
      <w:numFmt w:val="bullet"/>
      <w:lvlText w:val="•"/>
      <w:lvlJc w:val="left"/>
      <w:pPr>
        <w:ind w:left="2606" w:hanging="18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dlNmU4NzJmYTQ5MTE5Y2ExMTY4OTFhZDZiOTVhMTMifQ=="/>
  </w:docVars>
  <w:rsids>
    <w:rsidRoot w:val="003505C9"/>
    <w:rsid w:val="000131E7"/>
    <w:rsid w:val="000A1C2D"/>
    <w:rsid w:val="000B6444"/>
    <w:rsid w:val="000C276C"/>
    <w:rsid w:val="000F7AD1"/>
    <w:rsid w:val="00106909"/>
    <w:rsid w:val="00141A47"/>
    <w:rsid w:val="002554EE"/>
    <w:rsid w:val="00295D1E"/>
    <w:rsid w:val="002E765F"/>
    <w:rsid w:val="003505C9"/>
    <w:rsid w:val="003618C5"/>
    <w:rsid w:val="003800FC"/>
    <w:rsid w:val="00564E25"/>
    <w:rsid w:val="00571D77"/>
    <w:rsid w:val="005751AB"/>
    <w:rsid w:val="006E6162"/>
    <w:rsid w:val="00845931"/>
    <w:rsid w:val="009015FA"/>
    <w:rsid w:val="009214A0"/>
    <w:rsid w:val="0092325A"/>
    <w:rsid w:val="00992A74"/>
    <w:rsid w:val="00AA48BE"/>
    <w:rsid w:val="00AE5127"/>
    <w:rsid w:val="00C761C3"/>
    <w:rsid w:val="00C95329"/>
    <w:rsid w:val="00CB7B03"/>
    <w:rsid w:val="00CC7719"/>
    <w:rsid w:val="00DB1BD8"/>
    <w:rsid w:val="00E9247B"/>
    <w:rsid w:val="00EB6F27"/>
    <w:rsid w:val="00EC650B"/>
    <w:rsid w:val="00F31350"/>
    <w:rsid w:val="3A912BC2"/>
    <w:rsid w:val="5886322C"/>
    <w:rsid w:val="76AA2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1"/>
    <w:rPr>
      <w:sz w:val="24"/>
      <w:szCs w:val="24"/>
    </w:rPr>
  </w:style>
  <w:style w:type="paragraph" w:styleId="3">
    <w:name w:val="footer"/>
    <w:basedOn w:val="1"/>
    <w:link w:val="8"/>
    <w:semiHidden/>
    <w:unhideWhenUsed/>
    <w:qFormat/>
    <w:uiPriority w:val="99"/>
    <w:pPr>
      <w:tabs>
        <w:tab w:val="center" w:pos="4153"/>
        <w:tab w:val="right" w:pos="8306"/>
      </w:tabs>
      <w:snapToGrid w:val="0"/>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正文文本 Char"/>
    <w:basedOn w:val="6"/>
    <w:link w:val="2"/>
    <w:qFormat/>
    <w:uiPriority w:val="1"/>
    <w:rPr>
      <w:rFonts w:ascii="宋体" w:hAnsi="宋体" w:eastAsia="宋体" w:cs="宋体"/>
      <w:kern w:val="0"/>
      <w:sz w:val="24"/>
      <w:szCs w:val="24"/>
      <w:lang w:val="zh-CN" w:bidi="zh-CN"/>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196</Pages>
  <Words>135086</Words>
  <Characters>140767</Characters>
  <Lines>1271</Lines>
  <Paragraphs>358</Paragraphs>
  <TotalTime>4</TotalTime>
  <ScaleCrop>false</ScaleCrop>
  <LinksUpToDate>false</LinksUpToDate>
  <CharactersWithSpaces>156936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2023-03-20T12:10:00Z</dcterms:created>
  <dc:creator>PC</dc:creator>
  <cp:lastModifiedBy>媳妇，你别闹 ！</cp:lastModifiedBy>
  <dcterms:modified xsi:type="dcterms:W3CDTF">2023-04-13T01:52:09Z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E03ABF23949E4EF5A4B6ED258CA6C458</vt:lpwstr>
  </property>
</Properties>
</file>